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7CBF" w14:textId="77777777" w:rsidR="00EB2C05" w:rsidRDefault="00EB2C05" w:rsidP="00EB2C0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Riktlinjer för domartillsättning i Småland</w:t>
      </w:r>
    </w:p>
    <w:p w14:paraId="3BC5A2D3" w14:textId="77777777" w:rsidR="00EB2C05" w:rsidRPr="00524F84" w:rsidRDefault="00EB2C05" w:rsidP="00EB2C05">
      <w:pPr>
        <w:rPr>
          <w:sz w:val="24"/>
          <w:szCs w:val="24"/>
        </w:rPr>
      </w:pPr>
      <w:r>
        <w:rPr>
          <w:sz w:val="24"/>
          <w:szCs w:val="24"/>
        </w:rPr>
        <w:t>UD1</w:t>
      </w:r>
      <w:r w:rsidRPr="00524F84">
        <w:rPr>
          <w:sz w:val="24"/>
          <w:szCs w:val="24"/>
        </w:rPr>
        <w:t xml:space="preserve"> = </w:t>
      </w:r>
      <w:r w:rsidRPr="00524F84">
        <w:rPr>
          <w:sz w:val="24"/>
          <w:szCs w:val="24"/>
        </w:rPr>
        <w:tab/>
      </w:r>
      <w:r>
        <w:rPr>
          <w:sz w:val="24"/>
          <w:szCs w:val="24"/>
        </w:rPr>
        <w:tab/>
        <w:t>ungdomsdomare</w:t>
      </w:r>
      <w:r w:rsidRPr="00524F84">
        <w:rPr>
          <w:sz w:val="24"/>
          <w:szCs w:val="24"/>
        </w:rPr>
        <w:t>, första året som domare</w:t>
      </w:r>
    </w:p>
    <w:p w14:paraId="280440CF" w14:textId="77777777" w:rsidR="00EB2C05" w:rsidRDefault="00EB2C05" w:rsidP="00EB2C05">
      <w:pPr>
        <w:ind w:left="2608" w:firstLine="2"/>
        <w:rPr>
          <w:sz w:val="24"/>
          <w:szCs w:val="24"/>
        </w:rPr>
      </w:pPr>
      <w:r>
        <w:rPr>
          <w:sz w:val="24"/>
          <w:szCs w:val="24"/>
        </w:rPr>
        <w:t>Ska</w:t>
      </w:r>
      <w:r w:rsidRPr="00524F84">
        <w:rPr>
          <w:sz w:val="24"/>
          <w:szCs w:val="24"/>
        </w:rPr>
        <w:t xml:space="preserve"> </w:t>
      </w:r>
      <w:r>
        <w:rPr>
          <w:sz w:val="24"/>
          <w:szCs w:val="24"/>
        </w:rPr>
        <w:t>fylla 13 år under den säsong</w:t>
      </w:r>
      <w:r w:rsidRPr="00524F84">
        <w:rPr>
          <w:sz w:val="24"/>
          <w:szCs w:val="24"/>
        </w:rPr>
        <w:t xml:space="preserve"> som domaren genomgår kurs</w:t>
      </w:r>
      <w:r>
        <w:rPr>
          <w:sz w:val="24"/>
          <w:szCs w:val="24"/>
        </w:rPr>
        <w:t>. Domaren dömer endast matcher på anpassade spelytor.</w:t>
      </w:r>
    </w:p>
    <w:p w14:paraId="470A4632" w14:textId="77777777" w:rsidR="000F25D2" w:rsidRPr="00524F84" w:rsidRDefault="000F25D2" w:rsidP="00EB2C05">
      <w:pPr>
        <w:ind w:left="2608" w:firstLine="2"/>
        <w:rPr>
          <w:sz w:val="24"/>
          <w:szCs w:val="24"/>
        </w:rPr>
      </w:pPr>
    </w:p>
    <w:p w14:paraId="0F1D1092" w14:textId="77777777" w:rsidR="000F25D2" w:rsidRDefault="00EB2C05" w:rsidP="000F25D2">
      <w:pPr>
        <w:rPr>
          <w:sz w:val="24"/>
          <w:szCs w:val="24"/>
        </w:rPr>
      </w:pPr>
      <w:r>
        <w:rPr>
          <w:sz w:val="24"/>
          <w:szCs w:val="24"/>
        </w:rPr>
        <w:t>UD2</w:t>
      </w:r>
      <w:r w:rsidRPr="00524F84">
        <w:rPr>
          <w:sz w:val="24"/>
          <w:szCs w:val="24"/>
        </w:rPr>
        <w:t xml:space="preserve"> =</w:t>
      </w:r>
      <w:r w:rsidRPr="00524F84">
        <w:rPr>
          <w:sz w:val="24"/>
          <w:szCs w:val="24"/>
        </w:rPr>
        <w:tab/>
      </w:r>
      <w:r>
        <w:rPr>
          <w:sz w:val="24"/>
          <w:szCs w:val="24"/>
        </w:rPr>
        <w:tab/>
        <w:t>ungdomsdomare</w:t>
      </w:r>
      <w:r w:rsidRPr="00524F84">
        <w:rPr>
          <w:sz w:val="24"/>
          <w:szCs w:val="24"/>
        </w:rPr>
        <w:t>, andra året som domare</w:t>
      </w:r>
      <w:r>
        <w:rPr>
          <w:sz w:val="24"/>
          <w:szCs w:val="24"/>
        </w:rPr>
        <w:t xml:space="preserve"> </w:t>
      </w:r>
    </w:p>
    <w:p w14:paraId="4B38B99B" w14:textId="7033D270" w:rsidR="00EB2C05" w:rsidRPr="00524F84" w:rsidRDefault="00EB2C05" w:rsidP="000F25D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A355835" w14:textId="77777777" w:rsidR="00EB2C05" w:rsidRPr="00524F84" w:rsidRDefault="00EB2C05" w:rsidP="00EB2C05">
      <w:pPr>
        <w:rPr>
          <w:sz w:val="24"/>
          <w:szCs w:val="24"/>
        </w:rPr>
      </w:pPr>
      <w:r>
        <w:rPr>
          <w:sz w:val="24"/>
          <w:szCs w:val="24"/>
        </w:rPr>
        <w:t>UD3 =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ungdomsdomare</w:t>
      </w:r>
    </w:p>
    <w:p w14:paraId="4B85CE7B" w14:textId="77777777" w:rsidR="00EB2C05" w:rsidRDefault="00EB2C05" w:rsidP="00EB2C05">
      <w:pPr>
        <w:pBdr>
          <w:bottom w:val="single" w:sz="4" w:space="1" w:color="auto"/>
        </w:pBdr>
        <w:ind w:left="2608" w:firstLine="2"/>
        <w:rPr>
          <w:sz w:val="28"/>
          <w:szCs w:val="28"/>
        </w:rPr>
      </w:pPr>
      <w:r>
        <w:rPr>
          <w:sz w:val="24"/>
          <w:szCs w:val="24"/>
        </w:rPr>
        <w:t xml:space="preserve">Individer som är aktiva J20-spelare enligt åldern, alltså ej uppflyttade spelare, blir UD3 direkt. Även individer som är minst 20 år blir UD3 direkt. </w:t>
      </w:r>
    </w:p>
    <w:tbl>
      <w:tblPr>
        <w:tblW w:w="1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340"/>
        <w:gridCol w:w="1340"/>
        <w:gridCol w:w="960"/>
        <w:gridCol w:w="1340"/>
        <w:gridCol w:w="1340"/>
        <w:gridCol w:w="960"/>
        <w:gridCol w:w="960"/>
        <w:gridCol w:w="960"/>
      </w:tblGrid>
      <w:tr w:rsidR="00EB2C05" w:rsidRPr="00C559AF" w14:paraId="136CF0C4" w14:textId="77777777" w:rsidTr="00AA2BD1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5A01" w14:textId="77777777" w:rsidR="00EB2C05" w:rsidRDefault="00EB2C05" w:rsidP="00AA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5B6947AB" w14:textId="77777777" w:rsidR="00EB2C05" w:rsidRDefault="00EB2C05" w:rsidP="00AA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  <w:p w14:paraId="674F2DBB" w14:textId="10FD2B0D" w:rsidR="00EB2C05" w:rsidRPr="00C559AF" w:rsidRDefault="00EB2C05" w:rsidP="00AA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559A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VEM DÖMER VAD?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5219" w14:textId="77777777" w:rsidR="00EB2C05" w:rsidRPr="00C559AF" w:rsidRDefault="00EB2C05" w:rsidP="00AA2B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69E4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1D61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EC01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AD11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42B0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27C9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3FA8" w14:textId="77777777" w:rsidR="00EB2C05" w:rsidRPr="00C559AF" w:rsidRDefault="00EB2C05" w:rsidP="00AA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4D636B25" w14:textId="77777777" w:rsidR="0032103B" w:rsidRDefault="0032103B"/>
    <w:tbl>
      <w:tblPr>
        <w:tblStyle w:val="Rutntstabell4"/>
        <w:tblW w:w="0" w:type="auto"/>
        <w:tblLook w:val="04A0" w:firstRow="1" w:lastRow="0" w:firstColumn="1" w:lastColumn="0" w:noHBand="0" w:noVBand="1"/>
      </w:tblPr>
      <w:tblGrid>
        <w:gridCol w:w="1490"/>
        <w:gridCol w:w="1270"/>
        <w:gridCol w:w="1270"/>
        <w:gridCol w:w="1271"/>
        <w:gridCol w:w="1197"/>
        <w:gridCol w:w="1282"/>
        <w:gridCol w:w="1282"/>
      </w:tblGrid>
      <w:tr w:rsidR="00EB2C05" w14:paraId="6F2214AB" w14:textId="320C87B6" w:rsidTr="00EB2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338E673A" w14:textId="0332FBC6" w:rsidR="00EB2C05" w:rsidRPr="00EB2C05" w:rsidRDefault="00EB2C05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791AED84" w14:textId="2E3625DD" w:rsidR="00EB2C05" w:rsidRPr="00EB2C05" w:rsidRDefault="00EB2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HD</w:t>
            </w:r>
          </w:p>
        </w:tc>
        <w:tc>
          <w:tcPr>
            <w:tcW w:w="1294" w:type="dxa"/>
          </w:tcPr>
          <w:p w14:paraId="1916CBCE" w14:textId="27F05EC0" w:rsidR="00EB2C05" w:rsidRPr="00EB2C05" w:rsidRDefault="00EB2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LM</w:t>
            </w:r>
          </w:p>
        </w:tc>
        <w:tc>
          <w:tcPr>
            <w:tcW w:w="1294" w:type="dxa"/>
          </w:tcPr>
          <w:p w14:paraId="1A955237" w14:textId="17D41C5C" w:rsidR="00EB2C05" w:rsidRPr="00EB2C05" w:rsidRDefault="00EB2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LM</w:t>
            </w:r>
          </w:p>
        </w:tc>
        <w:tc>
          <w:tcPr>
            <w:tcW w:w="1295" w:type="dxa"/>
          </w:tcPr>
          <w:p w14:paraId="6D7FBA2E" w14:textId="77777777" w:rsidR="00EB2C05" w:rsidRPr="00EB2C05" w:rsidRDefault="00EB2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58166B60" w14:textId="0CBCCC8C" w:rsidR="00EB2C05" w:rsidRPr="00EB2C05" w:rsidRDefault="00EB2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Domare</w:t>
            </w:r>
          </w:p>
        </w:tc>
        <w:tc>
          <w:tcPr>
            <w:tcW w:w="1295" w:type="dxa"/>
          </w:tcPr>
          <w:p w14:paraId="25BF1B13" w14:textId="48E210EA" w:rsidR="00EB2C05" w:rsidRPr="00EB2C05" w:rsidRDefault="00EB2C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Domare</w:t>
            </w:r>
          </w:p>
        </w:tc>
      </w:tr>
      <w:tr w:rsidR="00EB2C05" w14:paraId="19086DA6" w14:textId="2F7E6618" w:rsidTr="00EB2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4E1DF106" w14:textId="77777777" w:rsidR="00EB2C05" w:rsidRPr="00EB2C05" w:rsidRDefault="00EB2C05">
            <w:pPr>
              <w:rPr>
                <w:b w:val="0"/>
                <w:bCs w:val="0"/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A1</w:t>
            </w:r>
          </w:p>
          <w:p w14:paraId="097FD950" w14:textId="6C774245" w:rsidR="00EB2C05" w:rsidRPr="00EB2C05" w:rsidRDefault="00EB2C05">
            <w:pPr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4" w:type="dxa"/>
          </w:tcPr>
          <w:p w14:paraId="08C088D7" w14:textId="59C23034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 w:rsidRPr="00EB2C05">
              <w:rPr>
                <w:sz w:val="28"/>
                <w:szCs w:val="28"/>
                <w:highlight w:val="yellow"/>
              </w:rPr>
              <w:t>Distrikt</w:t>
            </w:r>
          </w:p>
        </w:tc>
        <w:tc>
          <w:tcPr>
            <w:tcW w:w="1294" w:type="dxa"/>
          </w:tcPr>
          <w:p w14:paraId="5D4E4B1D" w14:textId="0BAD0B4C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yellow"/>
              </w:rPr>
              <w:t>Distrikt</w:t>
            </w:r>
          </w:p>
        </w:tc>
        <w:tc>
          <w:tcPr>
            <w:tcW w:w="1294" w:type="dxa"/>
          </w:tcPr>
          <w:p w14:paraId="1FA47B6B" w14:textId="2854690E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yellow"/>
              </w:rPr>
              <w:t>Distrikt</w:t>
            </w:r>
          </w:p>
        </w:tc>
        <w:tc>
          <w:tcPr>
            <w:tcW w:w="1295" w:type="dxa"/>
            <w:shd w:val="clear" w:color="auto" w:fill="000000" w:themeFill="text1"/>
          </w:tcPr>
          <w:p w14:paraId="041F7039" w14:textId="77777777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4520DE99" w14:textId="77777777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1F1F776B" w14:textId="77777777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52805" w14:paraId="7849A81A" w14:textId="77777777" w:rsidTr="00EB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6F66E69A" w14:textId="77777777" w:rsidR="00252805" w:rsidRDefault="00252805">
            <w:pPr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Juniorserie Flickor, regional</w:t>
            </w:r>
          </w:p>
          <w:p w14:paraId="773D3A01" w14:textId="44661106" w:rsidR="00252805" w:rsidRPr="00EB2C05" w:rsidRDefault="00252805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02E73C9E" w14:textId="055EACA9" w:rsidR="00252805" w:rsidRPr="00EB2C05" w:rsidRDefault="00252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Distrikt</w:t>
            </w:r>
          </w:p>
        </w:tc>
        <w:tc>
          <w:tcPr>
            <w:tcW w:w="1294" w:type="dxa"/>
          </w:tcPr>
          <w:p w14:paraId="7C0D1D70" w14:textId="6560C188" w:rsidR="00252805" w:rsidRPr="00EB2C05" w:rsidRDefault="0083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Distrikt</w:t>
            </w:r>
          </w:p>
        </w:tc>
        <w:tc>
          <w:tcPr>
            <w:tcW w:w="1294" w:type="dxa"/>
          </w:tcPr>
          <w:p w14:paraId="1E2F39B1" w14:textId="4BED6AFA" w:rsidR="00252805" w:rsidRPr="00EB2C05" w:rsidRDefault="00837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Distrikt</w:t>
            </w:r>
          </w:p>
        </w:tc>
        <w:tc>
          <w:tcPr>
            <w:tcW w:w="1295" w:type="dxa"/>
            <w:shd w:val="clear" w:color="auto" w:fill="000000" w:themeFill="text1"/>
          </w:tcPr>
          <w:p w14:paraId="14C50A5A" w14:textId="77777777" w:rsidR="00252805" w:rsidRPr="00EB2C05" w:rsidRDefault="00252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662AEA5F" w14:textId="77777777" w:rsidR="00252805" w:rsidRPr="00EB2C05" w:rsidRDefault="00252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176E29E3" w14:textId="77777777" w:rsidR="00252805" w:rsidRPr="00EB2C05" w:rsidRDefault="002528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B2C05" w14:paraId="64948208" w14:textId="15350F67" w:rsidTr="00EB2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7C13B18D" w14:textId="77777777" w:rsidR="00EB2C05" w:rsidRPr="00EB2C05" w:rsidRDefault="00EB2C05">
            <w:pPr>
              <w:rPr>
                <w:b w:val="0"/>
                <w:bCs w:val="0"/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A Flickor</w:t>
            </w:r>
          </w:p>
          <w:p w14:paraId="73633984" w14:textId="45C42715" w:rsidR="00EB2C05" w:rsidRPr="00EB2C05" w:rsidRDefault="00EB2C05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40A27058" w14:textId="65793EB0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green"/>
              </w:rPr>
              <w:t>UD3</w:t>
            </w:r>
          </w:p>
        </w:tc>
        <w:tc>
          <w:tcPr>
            <w:tcW w:w="1294" w:type="dxa"/>
          </w:tcPr>
          <w:p w14:paraId="32BCAF52" w14:textId="7C56B98B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4" w:type="dxa"/>
          </w:tcPr>
          <w:p w14:paraId="0B9E9DFB" w14:textId="50557422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highlight w:val="cyan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5" w:type="dxa"/>
            <w:shd w:val="clear" w:color="auto" w:fill="000000" w:themeFill="text1"/>
          </w:tcPr>
          <w:p w14:paraId="5F1F5AB5" w14:textId="77777777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50E7B841" w14:textId="2BB9D041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5" w:type="dxa"/>
          </w:tcPr>
          <w:p w14:paraId="2F9C997E" w14:textId="6E295F6B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</w:tr>
      <w:tr w:rsidR="00EB2C05" w14:paraId="6DB1A2D9" w14:textId="25B93DA8" w:rsidTr="00EB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08F9DB0A" w14:textId="77777777" w:rsidR="00EB2C05" w:rsidRPr="00EB2C05" w:rsidRDefault="00EB2C05">
            <w:pPr>
              <w:rPr>
                <w:b w:val="0"/>
                <w:bCs w:val="0"/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A2</w:t>
            </w:r>
          </w:p>
          <w:p w14:paraId="304D66BE" w14:textId="7FB0199C" w:rsidR="00EB2C05" w:rsidRPr="00EB2C05" w:rsidRDefault="00EB2C05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246B47D7" w14:textId="09BA7808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green"/>
              </w:rPr>
              <w:t>UD3</w:t>
            </w:r>
          </w:p>
        </w:tc>
        <w:tc>
          <w:tcPr>
            <w:tcW w:w="1294" w:type="dxa"/>
          </w:tcPr>
          <w:p w14:paraId="42AFBB27" w14:textId="6BFFCBAB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green"/>
              </w:rPr>
              <w:t>UD3</w:t>
            </w:r>
          </w:p>
        </w:tc>
        <w:tc>
          <w:tcPr>
            <w:tcW w:w="1294" w:type="dxa"/>
          </w:tcPr>
          <w:p w14:paraId="6AAB9BE9" w14:textId="56110FF1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5" w:type="dxa"/>
            <w:shd w:val="clear" w:color="auto" w:fill="000000" w:themeFill="text1"/>
          </w:tcPr>
          <w:p w14:paraId="54892431" w14:textId="77777777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2C3E50E1" w14:textId="48026EB0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green"/>
              </w:rPr>
              <w:t>UD3</w:t>
            </w:r>
          </w:p>
        </w:tc>
        <w:tc>
          <w:tcPr>
            <w:tcW w:w="1295" w:type="dxa"/>
          </w:tcPr>
          <w:p w14:paraId="4E7F296D" w14:textId="575ED207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</w:tr>
      <w:tr w:rsidR="00EB2C05" w14:paraId="6CCFD925" w14:textId="7F651ACD" w:rsidTr="00EB2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725FA113" w14:textId="77777777" w:rsidR="00EB2C05" w:rsidRPr="00EB2C05" w:rsidRDefault="00EB2C05">
            <w:pPr>
              <w:rPr>
                <w:b w:val="0"/>
                <w:bCs w:val="0"/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B1</w:t>
            </w:r>
          </w:p>
          <w:p w14:paraId="52C15A3D" w14:textId="45F6BFCC" w:rsidR="00EB2C05" w:rsidRPr="00EB2C05" w:rsidRDefault="00EB2C05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5EAFB64B" w14:textId="1DBCE3DF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green"/>
              </w:rPr>
              <w:t>UD3</w:t>
            </w:r>
          </w:p>
        </w:tc>
        <w:tc>
          <w:tcPr>
            <w:tcW w:w="1294" w:type="dxa"/>
          </w:tcPr>
          <w:p w14:paraId="15F136D0" w14:textId="23046BCC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4" w:type="dxa"/>
          </w:tcPr>
          <w:p w14:paraId="61D07BB0" w14:textId="72AFA2FE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5" w:type="dxa"/>
            <w:shd w:val="clear" w:color="auto" w:fill="000000" w:themeFill="text1"/>
          </w:tcPr>
          <w:p w14:paraId="1625FCA3" w14:textId="77777777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4A59A9B1" w14:textId="79FF93F5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green"/>
              </w:rPr>
              <w:t>UD3</w:t>
            </w:r>
          </w:p>
        </w:tc>
        <w:tc>
          <w:tcPr>
            <w:tcW w:w="1295" w:type="dxa"/>
          </w:tcPr>
          <w:p w14:paraId="64C2335D" w14:textId="2EA5A981" w:rsidR="00EB2C05" w:rsidRPr="00EB2C05" w:rsidRDefault="00EB2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</w:tr>
      <w:tr w:rsidR="00EB2C05" w14:paraId="567E3A4E" w14:textId="09397199" w:rsidTr="00EB2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</w:tcPr>
          <w:p w14:paraId="4B453626" w14:textId="77777777" w:rsidR="00EB2C05" w:rsidRPr="00EB2C05" w:rsidRDefault="00EB2C05">
            <w:pPr>
              <w:rPr>
                <w:b w:val="0"/>
                <w:bCs w:val="0"/>
                <w:sz w:val="28"/>
                <w:szCs w:val="28"/>
              </w:rPr>
            </w:pPr>
            <w:r w:rsidRPr="00EB2C05">
              <w:rPr>
                <w:sz w:val="28"/>
                <w:szCs w:val="28"/>
              </w:rPr>
              <w:t>B2</w:t>
            </w:r>
          </w:p>
          <w:p w14:paraId="7CCA4537" w14:textId="0780E77A" w:rsidR="00EB2C05" w:rsidRPr="00EB2C05" w:rsidRDefault="00EB2C05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14:paraId="76CE5B05" w14:textId="5BB0C01D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4" w:type="dxa"/>
          </w:tcPr>
          <w:p w14:paraId="6586BB63" w14:textId="4264C6F7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4" w:type="dxa"/>
          </w:tcPr>
          <w:p w14:paraId="7CCFA671" w14:textId="6FA2BF64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5" w:type="dxa"/>
            <w:shd w:val="clear" w:color="auto" w:fill="000000" w:themeFill="text1"/>
          </w:tcPr>
          <w:p w14:paraId="45314951" w14:textId="77777777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0ED68378" w14:textId="49D806BF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  <w:tc>
          <w:tcPr>
            <w:tcW w:w="1295" w:type="dxa"/>
          </w:tcPr>
          <w:p w14:paraId="7BC7A2E4" w14:textId="7239F832" w:rsidR="00EB2C05" w:rsidRPr="00EB2C05" w:rsidRDefault="00EB2C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2C05">
              <w:rPr>
                <w:sz w:val="28"/>
                <w:szCs w:val="28"/>
                <w:highlight w:val="cyan"/>
              </w:rPr>
              <w:t>UD2</w:t>
            </w:r>
          </w:p>
        </w:tc>
      </w:tr>
    </w:tbl>
    <w:p w14:paraId="7ADE6599" w14:textId="77777777" w:rsidR="00EB2C05" w:rsidRDefault="00EB2C05"/>
    <w:p w14:paraId="64F11D47" w14:textId="77777777" w:rsidR="00EB2C05" w:rsidRDefault="00EB2C05"/>
    <w:p w14:paraId="711BD3B4" w14:textId="21793AC0" w:rsidR="00EB2C05" w:rsidRDefault="00EB2C05" w:rsidP="00EB2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Vid tillsättning i </w:t>
      </w:r>
      <w:r w:rsidR="00646DF1">
        <w:t xml:space="preserve">en </w:t>
      </w:r>
      <w:r>
        <w:t>A-</w:t>
      </w:r>
      <w:r w:rsidR="00252805">
        <w:t xml:space="preserve">serie </w:t>
      </w:r>
      <w:r>
        <w:t xml:space="preserve">är det mycket viktigt att endast tillsätta domare som verkligen besitter den erfarenhet och kunskap som krävs för att döma i dessa </w:t>
      </w:r>
      <w:r w:rsidR="00646DF1">
        <w:t>matcher</w:t>
      </w:r>
      <w:r>
        <w:t xml:space="preserve">. </w:t>
      </w:r>
    </w:p>
    <w:p w14:paraId="3037AAE8" w14:textId="59480E10" w:rsidR="00EB2C05" w:rsidRDefault="00EB2C05">
      <w:r>
        <w:br w:type="page"/>
      </w:r>
    </w:p>
    <w:p w14:paraId="7146210D" w14:textId="77777777" w:rsidR="00EB2C05" w:rsidRDefault="00EB2C05" w:rsidP="00EB2C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Anpassade spelformer</w:t>
      </w:r>
    </w:p>
    <w:p w14:paraId="2A6EE30A" w14:textId="77777777" w:rsidR="00EB2C05" w:rsidRDefault="00EB2C05" w:rsidP="00EB2C05">
      <w:pPr>
        <w:rPr>
          <w:sz w:val="24"/>
          <w:szCs w:val="24"/>
        </w:rPr>
      </w:pPr>
      <w:r w:rsidRPr="005105E3">
        <w:rPr>
          <w:sz w:val="24"/>
          <w:szCs w:val="24"/>
        </w:rPr>
        <w:t>Matcher på anpassade spelytor, C1 och C2, skall dömas av licensierade ungdomsdomare.</w:t>
      </w:r>
    </w:p>
    <w:p w14:paraId="7B08BF16" w14:textId="3020342E" w:rsidR="00EB2C05" w:rsidRDefault="00EB2C05" w:rsidP="00EB2C05">
      <w:pPr>
        <w:rPr>
          <w:sz w:val="24"/>
          <w:szCs w:val="24"/>
        </w:rPr>
      </w:pPr>
      <w:r>
        <w:rPr>
          <w:sz w:val="24"/>
          <w:szCs w:val="24"/>
        </w:rPr>
        <w:t>I första hand anser domarkommittén att matcherna som ska dömas av licensierade ungdomsdomare</w:t>
      </w:r>
      <w:r w:rsidR="00F24553">
        <w:rPr>
          <w:sz w:val="24"/>
          <w:szCs w:val="24"/>
        </w:rPr>
        <w:t xml:space="preserve">, </w:t>
      </w:r>
      <w:r>
        <w:rPr>
          <w:sz w:val="24"/>
          <w:szCs w:val="24"/>
        </w:rPr>
        <w:t>C2</w:t>
      </w:r>
      <w:r w:rsidR="00F24553">
        <w:rPr>
          <w:sz w:val="24"/>
          <w:szCs w:val="24"/>
        </w:rPr>
        <w:t xml:space="preserve"> (</w:t>
      </w:r>
      <w:r>
        <w:rPr>
          <w:sz w:val="24"/>
          <w:szCs w:val="24"/>
        </w:rPr>
        <w:t>U11</w:t>
      </w:r>
      <w:r w:rsidR="00F24553">
        <w:rPr>
          <w:sz w:val="24"/>
          <w:szCs w:val="24"/>
        </w:rPr>
        <w:t>)</w:t>
      </w:r>
      <w:r>
        <w:rPr>
          <w:sz w:val="24"/>
          <w:szCs w:val="24"/>
        </w:rPr>
        <w:t xml:space="preserve"> och äldre</w:t>
      </w:r>
      <w:r w:rsidR="00F24553">
        <w:rPr>
          <w:sz w:val="24"/>
          <w:szCs w:val="24"/>
        </w:rPr>
        <w:t>,</w:t>
      </w:r>
      <w:r>
        <w:rPr>
          <w:sz w:val="24"/>
          <w:szCs w:val="24"/>
        </w:rPr>
        <w:t xml:space="preserve"> ska tillsättas om möjligt med två domare/matchplan och d</w:t>
      </w:r>
      <w:r w:rsidRPr="005105E3">
        <w:rPr>
          <w:sz w:val="24"/>
          <w:szCs w:val="24"/>
        </w:rPr>
        <w:t>et är godkänt att tillsätta två stycken UD1/matchplan</w:t>
      </w:r>
      <w:r>
        <w:rPr>
          <w:sz w:val="24"/>
          <w:szCs w:val="24"/>
        </w:rPr>
        <w:t xml:space="preserve">. Detta för att domarna ska kunna hjälpa varandra och känna en trygghet i att vara två på planen. Om det inte är möjligt att tillsätta med två domare så tillåter Smålands Ishockeyförbund att matcherna tillsätts med enbart en domare/matchplan, dock ska nya domare döma med en kollega under de första fem matcherna. Detta är ett skallkrav. Kommittén </w:t>
      </w:r>
      <w:r w:rsidR="00F24553">
        <w:rPr>
          <w:sz w:val="24"/>
          <w:szCs w:val="24"/>
        </w:rPr>
        <w:t>menar</w:t>
      </w:r>
      <w:r>
        <w:rPr>
          <w:sz w:val="24"/>
          <w:szCs w:val="24"/>
        </w:rPr>
        <w:t xml:space="preserve"> att det är viktigt att nya domare ges goda möjligheter att känna sig trygga i början av karriären. Förbundet vet att många nya domare känner sig otrygga i domarrollen och osäkra på regelverket i början och därför är det viktigt att det är två domare på planen när domarna är nya.</w:t>
      </w:r>
    </w:p>
    <w:p w14:paraId="1997A1A3" w14:textId="77777777" w:rsidR="00EB2C05" w:rsidRDefault="00EB2C05" w:rsidP="00EB2C05">
      <w:pPr>
        <w:rPr>
          <w:sz w:val="24"/>
          <w:szCs w:val="24"/>
        </w:rPr>
      </w:pPr>
    </w:p>
    <w:p w14:paraId="69209A64" w14:textId="70358681" w:rsidR="00EB2C05" w:rsidRPr="005105E3" w:rsidRDefault="00EB2C05" w:rsidP="00EB2C05">
      <w:pPr>
        <w:rPr>
          <w:sz w:val="24"/>
          <w:szCs w:val="24"/>
        </w:rPr>
      </w:pPr>
      <w:r w:rsidRPr="005105E3">
        <w:rPr>
          <w:sz w:val="24"/>
          <w:szCs w:val="24"/>
        </w:rPr>
        <w:t xml:space="preserve">Matcher där spelarna tillhör D-pojkar eller lägre skall dömas av en vuxen ledare. Minst en matchledare ska finnas /matchplan. Matchledaren ska vara väl insatt i gällande ramverk. </w:t>
      </w:r>
      <w:r w:rsidR="00F24553">
        <w:rPr>
          <w:sz w:val="24"/>
          <w:szCs w:val="24"/>
        </w:rPr>
        <w:t xml:space="preserve">Om det inte finns en vuxen ledare att tillgå ska matchen dömas av licensierad domare. </w:t>
      </w:r>
    </w:p>
    <w:p w14:paraId="22CFE6AA" w14:textId="77777777" w:rsidR="00EB2C05" w:rsidRPr="005105E3" w:rsidRDefault="00EB2C05" w:rsidP="00EB2C05">
      <w:pPr>
        <w:pBdr>
          <w:bottom w:val="single" w:sz="4" w:space="1" w:color="auto"/>
        </w:pBdr>
        <w:rPr>
          <w:sz w:val="24"/>
          <w:szCs w:val="24"/>
        </w:rPr>
      </w:pPr>
    </w:p>
    <w:p w14:paraId="1CD0D6A9" w14:textId="77777777" w:rsidR="00EB2C05" w:rsidRPr="005105E3" w:rsidRDefault="00EB2C05" w:rsidP="00EB2C05">
      <w:pPr>
        <w:rPr>
          <w:sz w:val="24"/>
          <w:szCs w:val="24"/>
        </w:rPr>
      </w:pPr>
      <w:r w:rsidRPr="005105E3">
        <w:rPr>
          <w:sz w:val="24"/>
          <w:szCs w:val="24"/>
        </w:rPr>
        <w:t>ALLA DISTRIKTSDOMARE ENLIGT OVANSTÅENDE SCHEMATISKA BILD TILLSÄTTS AV FÖRBUNDET.</w:t>
      </w:r>
    </w:p>
    <w:p w14:paraId="12C7CF23" w14:textId="77777777" w:rsidR="00EB2C05" w:rsidRPr="005105E3" w:rsidRDefault="00EB2C05" w:rsidP="00EB2C05">
      <w:pPr>
        <w:rPr>
          <w:sz w:val="24"/>
          <w:szCs w:val="24"/>
        </w:rPr>
      </w:pPr>
      <w:r w:rsidRPr="005105E3">
        <w:rPr>
          <w:sz w:val="24"/>
          <w:szCs w:val="24"/>
        </w:rPr>
        <w:t>Den som dömer BÖR vara minst två år äldre än de han/hon dömer.</w:t>
      </w:r>
      <w:r w:rsidRPr="005105E3">
        <w:rPr>
          <w:sz w:val="24"/>
          <w:szCs w:val="24"/>
        </w:rPr>
        <w:br/>
        <w:t>Det är alltid tillåtet att använda UD2 istället för UD1, och UD3 istället för UD2 o s v.</w:t>
      </w:r>
    </w:p>
    <w:p w14:paraId="16623EF8" w14:textId="77777777" w:rsidR="00EB2C05" w:rsidRPr="005105E3" w:rsidRDefault="00EB2C05" w:rsidP="00EB2C05">
      <w:pPr>
        <w:rPr>
          <w:i/>
          <w:iCs/>
          <w:sz w:val="24"/>
          <w:szCs w:val="24"/>
        </w:rPr>
      </w:pPr>
      <w:r w:rsidRPr="005105E3">
        <w:rPr>
          <w:i/>
          <w:iCs/>
          <w:sz w:val="24"/>
          <w:szCs w:val="24"/>
        </w:rPr>
        <w:t xml:space="preserve">Domarkommittén kan efter önskemål från </w:t>
      </w:r>
      <w:proofErr w:type="spellStart"/>
      <w:r w:rsidRPr="005105E3">
        <w:rPr>
          <w:i/>
          <w:iCs/>
          <w:sz w:val="24"/>
          <w:szCs w:val="24"/>
        </w:rPr>
        <w:t>DAIFaren</w:t>
      </w:r>
      <w:proofErr w:type="spellEnd"/>
      <w:r w:rsidRPr="005105E3">
        <w:rPr>
          <w:i/>
          <w:iCs/>
          <w:sz w:val="24"/>
          <w:szCs w:val="24"/>
        </w:rPr>
        <w:t xml:space="preserve"> besluta om att en domare ska flyttas upp i systemet, t ex från UD1 till UD2 o s v. </w:t>
      </w:r>
    </w:p>
    <w:p w14:paraId="52166DFC" w14:textId="77777777" w:rsidR="00EB2C05" w:rsidRPr="005105E3" w:rsidRDefault="00EB2C05" w:rsidP="00EB2C05">
      <w:pPr>
        <w:rPr>
          <w:i/>
          <w:iCs/>
          <w:sz w:val="24"/>
          <w:szCs w:val="24"/>
        </w:rPr>
      </w:pPr>
      <w:proofErr w:type="spellStart"/>
      <w:r w:rsidRPr="005105E3">
        <w:rPr>
          <w:i/>
          <w:iCs/>
          <w:sz w:val="24"/>
          <w:szCs w:val="24"/>
        </w:rPr>
        <w:t>DAIFaren</w:t>
      </w:r>
      <w:proofErr w:type="spellEnd"/>
      <w:r w:rsidRPr="005105E3">
        <w:rPr>
          <w:i/>
          <w:iCs/>
          <w:sz w:val="24"/>
          <w:szCs w:val="24"/>
        </w:rPr>
        <w:t xml:space="preserve"> ska alltid basera sina beslut om domartillsättning på vad som </w:t>
      </w:r>
      <w:r>
        <w:rPr>
          <w:i/>
          <w:iCs/>
          <w:sz w:val="24"/>
          <w:szCs w:val="24"/>
        </w:rPr>
        <w:t xml:space="preserve">är </w:t>
      </w:r>
      <w:r w:rsidRPr="005105E3">
        <w:rPr>
          <w:i/>
          <w:iCs/>
          <w:sz w:val="24"/>
          <w:szCs w:val="24"/>
        </w:rPr>
        <w:t>bäst för den enskilda individen, ingen domare gynnas av att döma på högre nivå än vad han/hon klarar av.</w:t>
      </w:r>
    </w:p>
    <w:p w14:paraId="3C5057D3" w14:textId="77777777" w:rsidR="00EB2C05" w:rsidRDefault="00EB2C05"/>
    <w:sectPr w:rsidR="00EB2C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240E" w14:textId="77777777" w:rsidR="00BD72AC" w:rsidRDefault="00BD72AC" w:rsidP="00EB2C05">
      <w:pPr>
        <w:spacing w:after="0" w:line="240" w:lineRule="auto"/>
      </w:pPr>
      <w:r>
        <w:separator/>
      </w:r>
    </w:p>
  </w:endnote>
  <w:endnote w:type="continuationSeparator" w:id="0">
    <w:p w14:paraId="1697CC5D" w14:textId="77777777" w:rsidR="00BD72AC" w:rsidRDefault="00BD72AC" w:rsidP="00EB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0F85" w14:textId="77777777" w:rsidR="00BD72AC" w:rsidRDefault="00BD72AC" w:rsidP="00EB2C05">
      <w:pPr>
        <w:spacing w:after="0" w:line="240" w:lineRule="auto"/>
      </w:pPr>
      <w:r>
        <w:separator/>
      </w:r>
    </w:p>
  </w:footnote>
  <w:footnote w:type="continuationSeparator" w:id="0">
    <w:p w14:paraId="489387ED" w14:textId="77777777" w:rsidR="00BD72AC" w:rsidRDefault="00BD72AC" w:rsidP="00EB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8573" w14:textId="5169FCB5" w:rsidR="00EB2C05" w:rsidRDefault="00EB2C05">
    <w:pPr>
      <w:pStyle w:val="Sidhuvud"/>
    </w:pPr>
    <w:r>
      <w:ptab w:relativeTo="margin" w:alignment="center" w:leader="none"/>
    </w:r>
    <w:r>
      <w:ptab w:relativeTo="margin" w:alignment="right" w:leader="none"/>
    </w:r>
    <w:r>
      <w:t>SMÅLANDS ISHOCKEYFÖRBUND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05"/>
    <w:rsid w:val="000F25D2"/>
    <w:rsid w:val="00252805"/>
    <w:rsid w:val="002A6EC9"/>
    <w:rsid w:val="0032103B"/>
    <w:rsid w:val="00606024"/>
    <w:rsid w:val="00646DF1"/>
    <w:rsid w:val="00800C8E"/>
    <w:rsid w:val="00813DE6"/>
    <w:rsid w:val="00837713"/>
    <w:rsid w:val="00BD72AC"/>
    <w:rsid w:val="00EB2C05"/>
    <w:rsid w:val="00F2384D"/>
    <w:rsid w:val="00F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4188"/>
  <w15:chartTrackingRefBased/>
  <w15:docId w15:val="{B7490B0D-8B49-4A47-B6DA-BA11DA48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05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2C05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B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2C05"/>
    <w:rPr>
      <w:kern w:val="0"/>
      <w14:ligatures w14:val="none"/>
    </w:rPr>
  </w:style>
  <w:style w:type="table" w:styleId="Tabellrutnt">
    <w:name w:val="Table Grid"/>
    <w:basedOn w:val="Normaltabell"/>
    <w:uiPriority w:val="39"/>
    <w:rsid w:val="00EB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2dekorfrg3">
    <w:name w:val="Grid Table 2 Accent 3"/>
    <w:basedOn w:val="Normaltabell"/>
    <w:uiPriority w:val="47"/>
    <w:rsid w:val="00EB2C0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">
    <w:name w:val="Grid Table 4"/>
    <w:basedOn w:val="Normaltabell"/>
    <w:uiPriority w:val="49"/>
    <w:rsid w:val="00EB2C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417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Jonsson</dc:creator>
  <cp:keywords/>
  <dc:description/>
  <cp:lastModifiedBy>Emil Jonsson</cp:lastModifiedBy>
  <cp:revision>6</cp:revision>
  <dcterms:created xsi:type="dcterms:W3CDTF">2023-08-15T20:01:00Z</dcterms:created>
  <dcterms:modified xsi:type="dcterms:W3CDTF">2025-08-17T17:05:00Z</dcterms:modified>
</cp:coreProperties>
</file>