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200" w:line="276" w:lineRule="auto"/>
        <w:jc w:val="center"/>
        <w:rPr/>
      </w:pPr>
      <w:bookmarkStart w:colFirst="0" w:colLast="0" w:name="_v3l8lhhy9k6k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4472c4"/>
          <w:sz w:val="20"/>
          <w:szCs w:val="20"/>
        </w:rPr>
        <w:drawing>
          <wp:inline distB="0" distT="0" distL="0" distR="0">
            <wp:extent cx="1249361" cy="120740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361" cy="12074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b w:val="1"/>
          <w:bCs w:val="1"/>
        </w:rPr>
      </w:pPr>
      <w:bookmarkStart w:colFirst="0" w:colLast="0" w:name="_4etft8uhr9cq" w:id="1"/>
      <w:bookmarkEnd w:id="1"/>
      <w:r w:rsidDel="00000000" w:rsidR="00000000" w:rsidRPr="00000000">
        <w:rPr>
          <w:b w:val="1"/>
          <w:bCs w:val="1"/>
          <w:rtl w:val="0"/>
        </w:rPr>
        <w:t xml:space="preserve">Regler för fem mot fem </w:t>
      </w:r>
    </w:p>
    <w:p w:rsidR="00000000" w:rsidDel="00000000" w:rsidP="00000000" w:rsidRDefault="00000000" w:rsidRPr="00000000" w14:paraId="00000003">
      <w:pPr>
        <w:pStyle w:val="Heading1"/>
        <w:jc w:val="center"/>
        <w:rPr>
          <w:b w:val="1"/>
          <w:bCs w:val="1"/>
          <w:sz w:val="30"/>
          <w:szCs w:val="30"/>
        </w:rPr>
      </w:pPr>
      <w:bookmarkStart w:colFirst="0" w:colLast="0" w:name="_aot87efyo1nj" w:id="2"/>
      <w:bookmarkEnd w:id="2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(anpassad variant för klubb-seriespel)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5000625" cy="360045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3600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Anpassad Speltid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12 minuter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Fasta situationer: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(avspark, sidlinjespark, hörna, frispark):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Alla fasta situationer startas genom att driva eller passa bollen efter marken.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Avståndet är minst fem meter. Alla fasta situationer är indirekta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(får ej skjutas direkt i mål).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Straff och inkast tillämpas ej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Retreatlinje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Vid målvaktsutkast eller när målvakten fångar bollen i spel ska det andra laget backa till sin egen planhalva (retreatlinje)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Vid underläge: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Vid underläge med fyra mål eller mer får laget som ligger under spela med 6 spelare tills ställningen är lika.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Olämpligt uppträdande: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Gula och röda kort tillämpas ej. Vid olämpligt uppträdande får spelaren byta med en annan spelare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Och, kom ihåg!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3600450" cy="55626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556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