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98" w:rsidRDefault="006B6FA4">
      <w:r>
        <w:rPr>
          <w:noProof/>
          <w:lang w:eastAsia="sv-SE"/>
        </w:rPr>
        <w:drawing>
          <wp:inline distT="0" distB="0" distL="0" distR="0" wp14:anchorId="50DD66FF" wp14:editId="58C52EA9">
            <wp:extent cx="5760720" cy="993775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37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6FA4" w:rsidRDefault="006B6FA4"/>
    <w:p w:rsidR="006B6FA4" w:rsidRPr="006B6FA4" w:rsidRDefault="006B6FA4">
      <w:pPr>
        <w:rPr>
          <w:rFonts w:ascii="Arial" w:hAnsi="Arial" w:cs="Arial"/>
          <w:b/>
          <w:sz w:val="32"/>
          <w:szCs w:val="32"/>
        </w:rPr>
      </w:pPr>
      <w:r w:rsidRPr="006B6FA4">
        <w:rPr>
          <w:rFonts w:ascii="Arial" w:hAnsi="Arial" w:cs="Arial"/>
          <w:b/>
          <w:sz w:val="32"/>
          <w:szCs w:val="32"/>
        </w:rPr>
        <w:t xml:space="preserve">Kalix </w:t>
      </w:r>
      <w:r w:rsidR="00A9485D">
        <w:rPr>
          <w:rFonts w:ascii="Arial" w:hAnsi="Arial" w:cs="Arial"/>
          <w:b/>
          <w:sz w:val="32"/>
          <w:szCs w:val="32"/>
        </w:rPr>
        <w:t>Handbollklubb</w:t>
      </w:r>
      <w:r w:rsidRPr="006B6FA4">
        <w:rPr>
          <w:rFonts w:ascii="Arial" w:hAnsi="Arial" w:cs="Arial"/>
          <w:b/>
          <w:sz w:val="32"/>
          <w:szCs w:val="32"/>
        </w:rPr>
        <w:t xml:space="preserve"> policy ang extrakassor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b/>
          <w:color w:val="00000A"/>
          <w:sz w:val="32"/>
          <w:szCs w:val="32"/>
          <w:vertAlign w:val="subscript"/>
        </w:rPr>
        <w:t>Styrelsens ansvar</w:t>
      </w:r>
    </w:p>
    <w:p w:rsidR="006B6FA4" w:rsidRPr="006B6FA4" w:rsidRDefault="006B6FA4" w:rsidP="006B6FA4">
      <w:pPr>
        <w:pStyle w:val="Standard"/>
        <w:spacing w:after="120" w:line="245" w:lineRule="exact"/>
        <w:rPr>
          <w:rFonts w:ascii="Arial" w:hAnsi="Arial"/>
        </w:rPr>
      </w:pP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Styrelsen i Kalix Handbollsklubb är ytterst ansvarig för samtliga transaktioner som sker i föreningens namn, i föreningens lag och därmed i de extrakassor som finns. Alla transaktioner i föreningen inkl lagkassorna bokförs enligt bokföringslagen. Extrakassor skall ingå och redovisas i föreningens bokföring och årsbokslut. Styrelsen ansvarar för att lagens extrakassor förvaltas betryggande och med tydlig regelbunden redovisning till föreningens kassör. 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>Vid osäkerhet och oenighet om hur policyn ska tolkas är det styrelsen som fäller avgörandet.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u w:val="single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b/>
          <w:color w:val="00000A"/>
          <w:sz w:val="32"/>
          <w:szCs w:val="32"/>
          <w:vertAlign w:val="subscript"/>
        </w:rPr>
        <w:t>Juridiska skäl</w:t>
      </w:r>
    </w:p>
    <w:p w:rsidR="006B6FA4" w:rsidRPr="006B6FA4" w:rsidRDefault="006B6FA4" w:rsidP="006B6FA4">
      <w:pPr>
        <w:pStyle w:val="Standard"/>
        <w:spacing w:after="120" w:line="245" w:lineRule="exact"/>
        <w:rPr>
          <w:rFonts w:ascii="Arial" w:eastAsia="Verdana" w:hAnsi="Arial"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>Juridiskt sett tillhör extrakassorna föreningen. Våra lag representerar alltid föreningen i alla idrottsliga sammanhang, vilket också är fallet när lagen uppträder i andra situationer såsom olika finansieringsverksamheter; lagjobb, lagförsäljningar av olika produkter, fikaförsäljning på matcher osv.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b/>
          <w:color w:val="00000A"/>
          <w:sz w:val="32"/>
          <w:szCs w:val="32"/>
          <w:vertAlign w:val="subscript"/>
        </w:rPr>
        <w:t>Skattetekniska skäl</w:t>
      </w:r>
    </w:p>
    <w:p w:rsidR="006B6FA4" w:rsidRPr="006B6FA4" w:rsidRDefault="006B6FA4" w:rsidP="006B6FA4">
      <w:pPr>
        <w:pStyle w:val="Standard"/>
        <w:spacing w:after="120" w:line="245" w:lineRule="exact"/>
        <w:rPr>
          <w:rFonts w:ascii="Arial" w:eastAsia="Verdana" w:hAnsi="Arial"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>När extrakassorna ingår i föreningen tillser föreningen att skattelagstiftning sköts korrekt. Om reglerna inte följs riskerar både ledare, spelare och hela föreningen bli skatteskyldig.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u w:val="single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vertAlign w:val="subscript"/>
        </w:rPr>
      </w:pPr>
      <w:r>
        <w:rPr>
          <w:rFonts w:ascii="Arial" w:eastAsia="Verdana" w:hAnsi="Arial"/>
          <w:b/>
          <w:color w:val="00000A"/>
          <w:sz w:val="32"/>
          <w:szCs w:val="32"/>
          <w:vertAlign w:val="subscript"/>
        </w:rPr>
        <w:t>Syftet med extrakassa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Varje lag i Kalix Handbollsklubb, när det gäller ungdomslagen även föräldrarna, diskuterar och kommer överens i samråd med lagets ledare om vad extrakassan ska användas till. Eftersom medlemmar i laget kan förändras över tid är det viktigt att extrakassans användning och  </w:t>
      </w:r>
      <w:r w:rsidR="00AC683B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>ev försäljningsuppdrag  för att få in mer pengar diskuteras i början av varje säsong. Detta för att spelare och föräldrar ska ha kännedom om vilken arbetsinsats som förväntas. Om nya spelare tillkommer i laget kan laget inte kräva att en ny spelare ”köper i kapp” sin del i lagkassan.  Det är lagets ledare som vid behov samråder med styrelsen om extrakassans användning.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br/>
        <w:t xml:space="preserve">Extrakassan får </w:t>
      </w:r>
      <w:r w:rsidR="00D26BCF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endast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användas till </w:t>
      </w:r>
      <w:r w:rsidR="00D26BCF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gemensamma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>handbollsrelaterade lagaktiviteter såsom anmälningsavgifter,</w:t>
      </w:r>
      <w:r w:rsidR="00D26BCF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>rese- boende kostnader i samband med cuper utom och inom länet, USM, avslutningar, tränings/matchläger, extern träning typ gym/gruppass,  träningsställ, väskor och gemensamma sociala lagaktiviteter.  Ingen del av extrakassan är personlig, Intäkterna som förvärvats ska komma hela laget tillgodo</w:t>
      </w:r>
      <w:r w:rsidR="00D26BCF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.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 Extrakassa kan ej användas till kostnader för individer i gru</w:t>
      </w:r>
      <w:r w:rsidR="00D26BCF">
        <w:rPr>
          <w:rFonts w:ascii="Arial" w:eastAsia="Verdana" w:hAnsi="Arial"/>
          <w:color w:val="00000A"/>
          <w:sz w:val="32"/>
          <w:szCs w:val="32"/>
          <w:vertAlign w:val="subscript"/>
        </w:rPr>
        <w:t>ppen t ex medlems-och deltagaravgifter.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26"/>
          <w:szCs w:val="26"/>
          <w:u w:val="single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b/>
          <w:color w:val="00000A"/>
          <w:sz w:val="32"/>
          <w:szCs w:val="32"/>
          <w:vertAlign w:val="subscript"/>
        </w:rPr>
        <w:t>Vad händer om spelare slutar eller laget upphör?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color w:val="00000A"/>
          <w:sz w:val="32"/>
          <w:szCs w:val="32"/>
          <w:vertAlign w:val="subscript"/>
        </w:rPr>
      </w:pP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Om ett lag upphör, inte längre deltar </w:t>
      </w:r>
      <w:r w:rsidR="00AC683B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i </w:t>
      </w:r>
      <w:bookmarkStart w:id="0" w:name="_GoBack"/>
      <w:bookmarkEnd w:id="0"/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seriespel eller har någon större aktivitet planerad ska lagkassan avslutas och de pengar som finns kvar i lagkassan skall tillfalla föreningen.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br/>
        <w:t>I första hand ska extrakassan användas om laget återuppstår eller a</w:t>
      </w:r>
      <w:r w:rsidR="00D26BCF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nvändas av den åldersgrupp som </w:t>
      </w:r>
      <w:r w:rsidRPr="006B6FA4">
        <w:rPr>
          <w:rFonts w:ascii="Arial" w:eastAsia="Verdana" w:hAnsi="Arial"/>
          <w:color w:val="00000A"/>
          <w:sz w:val="32"/>
          <w:szCs w:val="32"/>
          <w:vertAlign w:val="subscript"/>
        </w:rPr>
        <w:t xml:space="preserve">gruppen som lämnade extrakassan tillhörde. Oavsett om enskild spelare lämnar laget eller om laget upphör betalas aldrig pengar från lagkassan ut till enskild spelare eller förälder. </w:t>
      </w: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color w:val="00000A"/>
          <w:sz w:val="32"/>
          <w:szCs w:val="32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bCs/>
          <w:color w:val="00000A"/>
          <w:sz w:val="26"/>
          <w:szCs w:val="26"/>
          <w:u w:val="single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26"/>
          <w:szCs w:val="26"/>
          <w:u w:val="single"/>
          <w:vertAlign w:val="subscript"/>
        </w:rPr>
      </w:pPr>
    </w:p>
    <w:p w:rsidR="006B6FA4" w:rsidRPr="006B6FA4" w:rsidRDefault="006B6FA4" w:rsidP="006B6FA4">
      <w:pPr>
        <w:pStyle w:val="Standard"/>
        <w:spacing w:before="100" w:after="100" w:line="240" w:lineRule="exact"/>
        <w:rPr>
          <w:rFonts w:ascii="Arial" w:eastAsia="Verdana" w:hAnsi="Arial"/>
          <w:b/>
          <w:color w:val="00000A"/>
          <w:sz w:val="26"/>
          <w:szCs w:val="26"/>
          <w:u w:val="single"/>
          <w:vertAlign w:val="subscript"/>
        </w:rPr>
      </w:pPr>
      <w:r w:rsidRPr="006B6FA4">
        <w:rPr>
          <w:rFonts w:ascii="Arial" w:eastAsia="Verdana" w:hAnsi="Arial"/>
          <w:b/>
          <w:color w:val="00000A"/>
          <w:sz w:val="26"/>
          <w:szCs w:val="26"/>
          <w:u w:val="single"/>
          <w:vertAlign w:val="subscript"/>
        </w:rPr>
        <w:t xml:space="preserve"> </w:t>
      </w:r>
    </w:p>
    <w:p w:rsidR="006B6FA4" w:rsidRDefault="006B6FA4"/>
    <w:sectPr w:rsidR="006B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A4"/>
    <w:rsid w:val="006B6FA4"/>
    <w:rsid w:val="00A86C98"/>
    <w:rsid w:val="00A9485D"/>
    <w:rsid w:val="00AC683B"/>
    <w:rsid w:val="00D2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AB38E-51E5-4B85-AE7B-94F5939C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6B6F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Wallgren</dc:creator>
  <cp:keywords/>
  <dc:description/>
  <cp:lastModifiedBy>Birgitta Wallgren</cp:lastModifiedBy>
  <cp:revision>4</cp:revision>
  <dcterms:created xsi:type="dcterms:W3CDTF">2020-11-24T10:01:00Z</dcterms:created>
  <dcterms:modified xsi:type="dcterms:W3CDTF">2020-11-26T08:05:00Z</dcterms:modified>
</cp:coreProperties>
</file>