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BE6AD1" w:rsidRDefault="00637D5A">
      <w:pPr>
        <w:rPr>
          <w:b/>
          <w:sz w:val="36"/>
          <w:szCs w:val="36"/>
        </w:rPr>
      </w:pPr>
      <w:r>
        <w:rPr>
          <w:b/>
          <w:sz w:val="36"/>
          <w:szCs w:val="36"/>
        </w:rPr>
        <w:t>Styrelsemöte innebandysektionen 2019-0</w:t>
      </w:r>
      <w:r>
        <w:rPr>
          <w:b/>
          <w:sz w:val="36"/>
          <w:szCs w:val="36"/>
        </w:rPr>
        <w:t>5-06</w:t>
      </w:r>
    </w:p>
    <w:p w14:paraId="00000002" w14:textId="77777777" w:rsidR="00BE6AD1" w:rsidRDefault="00637D5A">
      <w:r>
        <w:br/>
      </w:r>
      <w:r>
        <w:t xml:space="preserve">Närvarande: Annelie Lundell (ordförande), Kerstin Furustig (kassör), Anders Lindahl (ledamot), Marie Hillblom (ledamot), </w:t>
      </w:r>
    </w:p>
    <w:p w14:paraId="00000003" w14:textId="77777777" w:rsidR="00BE6AD1" w:rsidRDefault="00BE6AD1"/>
    <w:p w14:paraId="00000004" w14:textId="77777777" w:rsidR="00BE6AD1" w:rsidRDefault="00637D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color w:val="000000"/>
        </w:rPr>
      </w:pPr>
      <w:r>
        <w:rPr>
          <w:color w:val="000000"/>
        </w:rPr>
        <w:t>Ordförande Annelie Lundell öppnade mötet.</w:t>
      </w:r>
    </w:p>
    <w:p w14:paraId="00000005" w14:textId="77C1C8EC" w:rsidR="00BE6AD1" w:rsidRPr="000A37B8" w:rsidRDefault="00637D5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/>
        <w:rPr>
          <w:color w:val="000000"/>
        </w:rPr>
      </w:pPr>
      <w:r>
        <w:t>Annelie har gjort anmälan till Sörmlands innebandyför</w:t>
      </w:r>
      <w:r w:rsidR="000A37B8">
        <w:t>bund</w:t>
      </w:r>
      <w:r>
        <w:t xml:space="preserve"> för gällande lag. Fyra spelande </w:t>
      </w:r>
      <w:r>
        <w:t xml:space="preserve">lag är anmälda till serier, </w:t>
      </w:r>
      <w:r w:rsidR="000A37B8">
        <w:t>P</w:t>
      </w:r>
      <w:r>
        <w:t xml:space="preserve">05/06/07 och </w:t>
      </w:r>
      <w:r w:rsidR="000A37B8">
        <w:t>P</w:t>
      </w:r>
      <w:r>
        <w:t xml:space="preserve">08, anmälan för sammandrag har skett för </w:t>
      </w:r>
      <w:r w:rsidR="000A37B8">
        <w:t>P</w:t>
      </w:r>
      <w:r>
        <w:t xml:space="preserve">09/10 och </w:t>
      </w:r>
      <w:r w:rsidR="000A37B8">
        <w:t>P</w:t>
      </w:r>
      <w:r>
        <w:t>11/12</w:t>
      </w:r>
      <w:r w:rsidR="000A37B8">
        <w:t>.</w:t>
      </w:r>
    </w:p>
    <w:p w14:paraId="6045EB7C" w14:textId="77777777" w:rsidR="000A37B8" w:rsidRDefault="000A37B8" w:rsidP="000A37B8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</w:p>
    <w:p w14:paraId="00000007" w14:textId="4654573B" w:rsidR="00BE6AD1" w:rsidRPr="000A37B8" w:rsidRDefault="00637D5A" w:rsidP="000A37B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/>
        <w:rPr>
          <w:color w:val="000000"/>
        </w:rPr>
      </w:pPr>
      <w:r>
        <w:rPr>
          <w:color w:val="000000"/>
        </w:rPr>
        <w:t xml:space="preserve">Kassören Kerstin Furustig redovisade </w:t>
      </w:r>
      <w:r>
        <w:rPr>
          <w:b/>
          <w:color w:val="000000"/>
        </w:rPr>
        <w:t>ekonomin</w:t>
      </w:r>
      <w:r>
        <w:rPr>
          <w:color w:val="000000"/>
        </w:rPr>
        <w:t xml:space="preserve"> i innebandysektionen:</w:t>
      </w:r>
      <w:r w:rsidR="000A37B8">
        <w:rPr>
          <w:color w:val="000000"/>
        </w:rPr>
        <w:br/>
      </w:r>
      <w:r>
        <w:t>125 000 kronor finn</w:t>
      </w:r>
      <w:r>
        <w:t>s i kassan.</w:t>
      </w:r>
    </w:p>
    <w:p w14:paraId="00000008" w14:textId="77777777" w:rsidR="00BE6AD1" w:rsidRDefault="00637D5A">
      <w:r>
        <w:t>Ordförande upplever att det är svårt att ha total kontroll på ekonomin i innebandysektionen. För att underlätta en del av detta beslutas att avstämningen på kioskens kassarapport fotas av från och med hösten och skickas till Kerstin via sms ell</w:t>
      </w:r>
      <w:r>
        <w:t>er mejl. Detta måste in på rutinlappen till hösten och styrelsen behöver också sprida detta till alla lag.</w:t>
      </w:r>
    </w:p>
    <w:p w14:paraId="00000009" w14:textId="1DA91F50" w:rsidR="00BE6AD1" w:rsidRDefault="00637D5A">
      <w:pPr>
        <w:ind w:hanging="283"/>
      </w:pPr>
      <w:r>
        <w:t>4. Styrelsen klubbade innebandysektionens budget (Se hela budgeten i bifogad fil).</w:t>
      </w:r>
      <w:r>
        <w:br/>
        <w:t>Styrelsen har fastslagit en totalkostnad på 155</w:t>
      </w:r>
      <w:r w:rsidR="000A37B8">
        <w:t xml:space="preserve"> </w:t>
      </w:r>
      <w:r>
        <w:t>000 kronor för 2019</w:t>
      </w:r>
      <w:r>
        <w:t>/2020</w:t>
      </w:r>
      <w:r>
        <w:br/>
        <w:t xml:space="preserve"> Intäkter på 152</w:t>
      </w:r>
      <w:r w:rsidR="000A37B8">
        <w:t xml:space="preserve"> </w:t>
      </w:r>
      <w:r>
        <w:t>000 kronor</w:t>
      </w:r>
      <w:r>
        <w:br/>
        <w:t>Sektionsavgifterna är de</w:t>
      </w:r>
      <w:r w:rsidR="000A37B8">
        <w:t>n</w:t>
      </w:r>
      <w:r>
        <w:t xml:space="preserve"> samma som tidigare säsong, dvs 800 kronor för sammandragsbarn och 1200 kronor för seriespelande.</w:t>
      </w:r>
    </w:p>
    <w:p w14:paraId="0000000A" w14:textId="19EDE344" w:rsidR="00BE6AD1" w:rsidRDefault="00637D5A">
      <w:pPr>
        <w:spacing w:before="240" w:after="240"/>
        <w:ind w:hanging="283"/>
      </w:pPr>
      <w:r>
        <w:t xml:space="preserve">5.  Marie får i uppdrag av styrelsen att undersöka och med hjälp av ordförande söka </w:t>
      </w:r>
      <w:r w:rsidR="000A37B8">
        <w:t xml:space="preserve">ekonomiskt </w:t>
      </w:r>
      <w:r>
        <w:t xml:space="preserve">stöd från </w:t>
      </w:r>
      <w:proofErr w:type="spellStart"/>
      <w:r>
        <w:t>Rekarne</w:t>
      </w:r>
      <w:proofErr w:type="spellEnd"/>
      <w:r>
        <w:t xml:space="preserve"> Sparbank </w:t>
      </w:r>
      <w:r w:rsidR="000A37B8">
        <w:t xml:space="preserve">Stiftelsen </w:t>
      </w:r>
      <w:r>
        <w:t xml:space="preserve">för IFK Mariefreds </w:t>
      </w:r>
      <w:proofErr w:type="spellStart"/>
      <w:r>
        <w:t>bollskoleverksamhet</w:t>
      </w:r>
      <w:proofErr w:type="spellEnd"/>
      <w:r>
        <w:t xml:space="preserve"> i innebandy, fotboll, handboll.</w:t>
      </w:r>
    </w:p>
    <w:p w14:paraId="0000000B" w14:textId="77777777" w:rsidR="00BE6AD1" w:rsidRDefault="00637D5A">
      <w:pPr>
        <w:spacing w:before="240" w:after="240"/>
        <w:ind w:hanging="283"/>
      </w:pPr>
      <w:r>
        <w:t>6. Anders kan ha en sponsor på gång. Vi siktar framför allt på sargsponsor.</w:t>
      </w:r>
    </w:p>
    <w:p w14:paraId="0000000C" w14:textId="77777777" w:rsidR="00BE6AD1" w:rsidRDefault="00637D5A">
      <w:pPr>
        <w:spacing w:before="240" w:after="240"/>
        <w:ind w:hanging="283"/>
      </w:pPr>
      <w:r>
        <w:t xml:space="preserve">7. Inget har ännu skett gällande sommarcamp för målvakter i augusti. Vi tror därmed inte att detta </w:t>
      </w:r>
      <w:r>
        <w:t>kommer att genomföras. Nya tag i frågan får ske till hösten.</w:t>
      </w:r>
    </w:p>
    <w:p w14:paraId="0000000D" w14:textId="4A6714EB" w:rsidR="00BE6AD1" w:rsidRDefault="00637D5A">
      <w:pPr>
        <w:spacing w:before="240" w:after="240"/>
        <w:ind w:hanging="283"/>
      </w:pPr>
      <w:r>
        <w:t xml:space="preserve">8. Innebandyn har inte fått någon chans till extraintäkter under sommaren i form av </w:t>
      </w:r>
      <w:r w:rsidR="000A37B8">
        <w:t>P</w:t>
      </w:r>
      <w:r>
        <w:t>-vakter mm. Nya idéer för att få in pengar till lagen efterlyses därför av styrelsen.</w:t>
      </w:r>
    </w:p>
    <w:p w14:paraId="0000000E" w14:textId="77777777" w:rsidR="00BE6AD1" w:rsidRDefault="00637D5A">
      <w:pPr>
        <w:spacing w:before="240" w:after="240"/>
        <w:ind w:hanging="283"/>
      </w:pPr>
      <w:r>
        <w:t>9. 27 maj ska Annelie p</w:t>
      </w:r>
      <w:r>
        <w:t>å möte med kommunen och andra föreningar för att se till att innebandyn får de träningstider som önskas. Allt tyder på att det blir enligt önskan och samma tider som i år.</w:t>
      </w:r>
    </w:p>
    <w:p w14:paraId="0000000F" w14:textId="77777777" w:rsidR="00BE6AD1" w:rsidRDefault="00637D5A">
      <w:pPr>
        <w:spacing w:before="240" w:after="240"/>
        <w:ind w:hanging="283"/>
      </w:pPr>
      <w:r>
        <w:t>10. Innan 25 augusti måste innebandysektionens styrelse mötas för att diverse ansökn</w:t>
      </w:r>
      <w:r>
        <w:t>ingar ska hinna sammanställas.</w:t>
      </w:r>
    </w:p>
    <w:p w14:paraId="00000010" w14:textId="3F6715EC" w:rsidR="00BE6AD1" w:rsidRDefault="00637D5A">
      <w:pPr>
        <w:spacing w:before="240" w:after="240"/>
      </w:pPr>
      <w:r>
        <w:t>Nytt möte för styrelsen sätts till</w:t>
      </w:r>
      <w:r>
        <w:t xml:space="preserve"> den 19 augusti 1</w:t>
      </w:r>
      <w:r w:rsidR="000A37B8">
        <w:t>9</w:t>
      </w:r>
      <w:r>
        <w:t>.00.</w:t>
      </w:r>
    </w:p>
    <w:p w14:paraId="00000011" w14:textId="77777777" w:rsidR="00BE6AD1" w:rsidRDefault="00BE6AD1"/>
    <w:p w14:paraId="00000012" w14:textId="77777777" w:rsidR="00BE6AD1" w:rsidRDefault="00637D5A">
      <w:r>
        <w:t xml:space="preserve">Vid protokollet:                                                                           </w:t>
      </w:r>
      <w:r>
        <w:t>Justeras:</w:t>
      </w:r>
    </w:p>
    <w:p w14:paraId="00000015" w14:textId="6D9F0270" w:rsidR="00BE6AD1" w:rsidRDefault="00637D5A">
      <w:r>
        <w:t>Marie Hillblom</w:t>
      </w:r>
      <w:r>
        <w:tab/>
      </w:r>
      <w:r>
        <w:tab/>
      </w:r>
      <w:r>
        <w:tab/>
      </w:r>
      <w:r>
        <w:tab/>
      </w:r>
      <w:r>
        <w:tab/>
      </w:r>
      <w:r>
        <w:tab/>
        <w:t>Annelie Lundell</w:t>
      </w:r>
    </w:p>
    <w:p w14:paraId="082D81EC" w14:textId="54DDE61E" w:rsidR="00DA0002" w:rsidRDefault="00DA0002"/>
    <w:tbl>
      <w:tblPr>
        <w:tblW w:w="49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8"/>
        <w:gridCol w:w="160"/>
        <w:gridCol w:w="1634"/>
      </w:tblGrid>
      <w:tr w:rsidR="00F17EA6" w:rsidRPr="00F17EA6" w14:paraId="76704768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A832" w14:textId="1B700911" w:rsidR="00F17EA6" w:rsidRPr="00F17EA6" w:rsidRDefault="00F17EA6" w:rsidP="00F17EA6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BC78E" w14:textId="77777777" w:rsidR="00F17EA6" w:rsidRPr="00F17EA6" w:rsidRDefault="00F17EA6" w:rsidP="00F17E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12237C9D" w14:textId="77777777" w:rsidR="00F17EA6" w:rsidRPr="00F17EA6" w:rsidRDefault="00F17EA6" w:rsidP="00F17E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17EA6">
              <w:rPr>
                <w:rFonts w:eastAsia="Times New Roman"/>
                <w:b/>
                <w:bCs/>
                <w:color w:val="000000"/>
              </w:rPr>
              <w:t>Budget</w:t>
            </w:r>
          </w:p>
        </w:tc>
      </w:tr>
      <w:tr w:rsidR="00F17EA6" w:rsidRPr="00F17EA6" w14:paraId="12833391" w14:textId="77777777" w:rsidTr="00F17EA6">
        <w:trPr>
          <w:trHeight w:val="3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05FB6" w14:textId="34189C54" w:rsidR="00F17EA6" w:rsidRPr="00F17EA6" w:rsidRDefault="00F17EA6" w:rsidP="00F17E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17EA6">
              <w:rPr>
                <w:rFonts w:eastAsia="Times New Roman"/>
                <w:b/>
                <w:bCs/>
                <w:color w:val="000000"/>
                <w:sz w:val="36"/>
                <w:szCs w:val="28"/>
              </w:rPr>
              <w:t> </w:t>
            </w:r>
            <w:r w:rsidRPr="00F17EA6">
              <w:rPr>
                <w:rFonts w:eastAsia="Times New Roman"/>
                <w:b/>
                <w:color w:val="000000"/>
                <w:sz w:val="28"/>
              </w:rPr>
              <w:t>INNEBANDYSEKTIONEN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77655" w14:textId="77777777" w:rsidR="00F17EA6" w:rsidRPr="00F17EA6" w:rsidRDefault="00F17EA6" w:rsidP="00F17E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noWrap/>
            <w:vAlign w:val="bottom"/>
            <w:hideMark/>
          </w:tcPr>
          <w:p w14:paraId="045380DC" w14:textId="77777777" w:rsidR="00F17EA6" w:rsidRPr="00F17EA6" w:rsidRDefault="00F17EA6" w:rsidP="00F17EA6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F17EA6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2019</w:t>
            </w:r>
          </w:p>
        </w:tc>
      </w:tr>
      <w:tr w:rsidR="00F17EA6" w:rsidRPr="00F17EA6" w14:paraId="0D88873D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E0BA1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Sektionsavgifter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EAB2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61C7A32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80 000</w:t>
            </w:r>
          </w:p>
        </w:tc>
      </w:tr>
      <w:tr w:rsidR="00F17EA6" w:rsidRPr="00F17EA6" w14:paraId="560ECF57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8F60B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Akt-Bidrag kom/stat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F78A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E67254C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60 000</w:t>
            </w:r>
          </w:p>
        </w:tc>
      </w:tr>
      <w:tr w:rsidR="00F17EA6" w:rsidRPr="00F17EA6" w14:paraId="4AD85422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352AD4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17EA6">
              <w:rPr>
                <w:rFonts w:eastAsia="Times New Roman"/>
                <w:color w:val="000000"/>
              </w:rPr>
              <w:t>Övriga intäkter</w:t>
            </w:r>
            <w:r w:rsidRPr="00F17EA6">
              <w:rPr>
                <w:rFonts w:eastAsia="Times New Roman"/>
                <w:color w:val="000000"/>
                <w:sz w:val="20"/>
                <w:szCs w:val="20"/>
              </w:rPr>
              <w:t xml:space="preserve"> </w:t>
            </w:r>
            <w:r w:rsidRPr="00F17EA6">
              <w:rPr>
                <w:rFonts w:eastAsia="Times New Roman"/>
                <w:color w:val="000000"/>
                <w:sz w:val="16"/>
                <w:szCs w:val="16"/>
              </w:rPr>
              <w:t xml:space="preserve">(SEVAB, </w:t>
            </w:r>
            <w:proofErr w:type="spellStart"/>
            <w:r w:rsidRPr="00F17EA6">
              <w:rPr>
                <w:rFonts w:eastAsia="Times New Roman"/>
                <w:color w:val="000000"/>
                <w:sz w:val="16"/>
                <w:szCs w:val="16"/>
              </w:rPr>
              <w:t>Sv</w:t>
            </w:r>
            <w:proofErr w:type="spellEnd"/>
            <w:r w:rsidRPr="00F17EA6">
              <w:rPr>
                <w:rFonts w:eastAsia="Times New Roman"/>
                <w:color w:val="000000"/>
                <w:sz w:val="16"/>
                <w:szCs w:val="16"/>
              </w:rPr>
              <w:t xml:space="preserve"> spel)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3D8A5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ECAF2FA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12 000</w:t>
            </w:r>
          </w:p>
        </w:tc>
      </w:tr>
      <w:tr w:rsidR="00F17EA6" w:rsidRPr="00F17EA6" w14:paraId="68EE1305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08B2B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Sponsorintäkter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657BB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0D008B56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0</w:t>
            </w:r>
          </w:p>
        </w:tc>
      </w:tr>
      <w:tr w:rsidR="00F17EA6" w:rsidRPr="00F17EA6" w14:paraId="2667C7CB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8A2D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17EA6">
              <w:rPr>
                <w:rFonts w:eastAsia="Times New Roman"/>
                <w:b/>
                <w:bCs/>
                <w:i/>
                <w:iCs/>
                <w:color w:val="000000"/>
              </w:rPr>
              <w:t>Summa intäkter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820E4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9D2C8A1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17EA6">
              <w:rPr>
                <w:rFonts w:eastAsia="Times New Roman"/>
                <w:b/>
                <w:bCs/>
                <w:color w:val="000000"/>
              </w:rPr>
              <w:t>152 000</w:t>
            </w:r>
          </w:p>
        </w:tc>
      </w:tr>
      <w:tr w:rsidR="00F17EA6" w:rsidRPr="00F17EA6" w14:paraId="7A834523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88199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17EA6">
              <w:rPr>
                <w:rFonts w:eastAsia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416AB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73655B7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17EA6">
              <w:rPr>
                <w:rFonts w:eastAsia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17EA6" w:rsidRPr="00F17EA6" w14:paraId="3E4CC041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5311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Serieanmälan/</w:t>
            </w:r>
            <w:proofErr w:type="spellStart"/>
            <w:r w:rsidRPr="00F17EA6">
              <w:rPr>
                <w:rFonts w:eastAsia="Times New Roman"/>
                <w:color w:val="000000"/>
              </w:rPr>
              <w:t>förb</w:t>
            </w:r>
            <w:proofErr w:type="spellEnd"/>
            <w:r w:rsidRPr="00F17EA6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F17EA6">
              <w:rPr>
                <w:rFonts w:eastAsia="Times New Roman"/>
                <w:color w:val="000000"/>
              </w:rPr>
              <w:t>avg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90AAB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6D1AF598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14 200</w:t>
            </w:r>
          </w:p>
        </w:tc>
      </w:tr>
      <w:tr w:rsidR="00F17EA6" w:rsidRPr="00F17EA6" w14:paraId="3C3FE303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8628B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Licensavgifter *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12C5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6E93EEDF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7 000</w:t>
            </w:r>
          </w:p>
        </w:tc>
      </w:tr>
      <w:tr w:rsidR="00F17EA6" w:rsidRPr="00F17EA6" w14:paraId="4509C9D4" w14:textId="77777777" w:rsidTr="00F17EA6">
        <w:trPr>
          <w:trHeight w:val="40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4C99F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Bollskolan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28894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0DE8E67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4 000</w:t>
            </w:r>
          </w:p>
        </w:tc>
      </w:tr>
      <w:tr w:rsidR="00F17EA6" w:rsidRPr="00F17EA6" w14:paraId="26171D9B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09DA3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Lokalhyra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8DE6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47C68633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55 000</w:t>
            </w:r>
          </w:p>
        </w:tc>
      </w:tr>
      <w:tr w:rsidR="00F17EA6" w:rsidRPr="00F17EA6" w14:paraId="749A7354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79D4C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Domarkostnader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D17E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D139DD2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30 000</w:t>
            </w:r>
          </w:p>
        </w:tc>
      </w:tr>
      <w:tr w:rsidR="00F17EA6" w:rsidRPr="00F17EA6" w14:paraId="6630F846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74909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Kläder/Material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B063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4B71C21F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15 000</w:t>
            </w:r>
          </w:p>
        </w:tc>
      </w:tr>
      <w:tr w:rsidR="00F17EA6" w:rsidRPr="00F17EA6" w14:paraId="19759E0A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B18D89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Utbildning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4F706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9E5A19C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6 000</w:t>
            </w:r>
          </w:p>
        </w:tc>
      </w:tr>
      <w:tr w:rsidR="00F17EA6" w:rsidRPr="00F17EA6" w14:paraId="38543118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C9A3B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</w:rPr>
            </w:pPr>
            <w:r w:rsidRPr="00F17EA6">
              <w:rPr>
                <w:rFonts w:eastAsia="Times New Roman"/>
                <w:color w:val="000000"/>
                <w:sz w:val="20"/>
                <w:szCs w:val="20"/>
              </w:rPr>
              <w:t>Kostnad till klubbkansliet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6A438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7286CC30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7 500</w:t>
            </w:r>
          </w:p>
        </w:tc>
      </w:tr>
      <w:tr w:rsidR="00F17EA6" w:rsidRPr="00F17EA6" w14:paraId="22F46138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EC2FAD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Bank/Cup/möte/Övrigt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05654" w14:textId="661E34D4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</w:rPr>
            </w:pPr>
          </w:p>
        </w:tc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D5B4"/>
            <w:hideMark/>
          </w:tcPr>
          <w:p w14:paraId="181CC669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F17EA6">
              <w:rPr>
                <w:rFonts w:eastAsia="Times New Roman"/>
                <w:color w:val="000000"/>
              </w:rPr>
              <w:t>16 000</w:t>
            </w:r>
          </w:p>
        </w:tc>
      </w:tr>
      <w:tr w:rsidR="00F17EA6" w:rsidRPr="00F17EA6" w14:paraId="4295F0B7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42683B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17EA6">
              <w:rPr>
                <w:rFonts w:eastAsia="Times New Roman"/>
                <w:b/>
                <w:bCs/>
                <w:i/>
                <w:iCs/>
                <w:color w:val="000000"/>
              </w:rPr>
              <w:t>Summa kostnader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35171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25081838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17EA6">
              <w:rPr>
                <w:rFonts w:eastAsia="Times New Roman"/>
                <w:b/>
                <w:bCs/>
                <w:i/>
                <w:iCs/>
                <w:color w:val="000000"/>
              </w:rPr>
              <w:t>154 700</w:t>
            </w:r>
          </w:p>
        </w:tc>
      </w:tr>
      <w:tr w:rsidR="00F17EA6" w:rsidRPr="00F17EA6" w14:paraId="40C72E4B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406431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</w:rPr>
            </w:pPr>
            <w:r w:rsidRPr="00F17EA6">
              <w:rPr>
                <w:rFonts w:eastAsia="Times New Roman"/>
                <w:color w:val="000000"/>
                <w:sz w:val="18"/>
                <w:szCs w:val="18"/>
              </w:rPr>
              <w:t>kioskuppgifter ej med här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9E3B7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3451CA35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17EA6">
              <w:rPr>
                <w:rFonts w:eastAsia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17EA6" w:rsidRPr="00F17EA6" w14:paraId="5F9282BA" w14:textId="77777777" w:rsidTr="00F17EA6">
        <w:trPr>
          <w:trHeight w:val="288"/>
        </w:trPr>
        <w:tc>
          <w:tcPr>
            <w:tcW w:w="3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47C153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17EA6">
              <w:rPr>
                <w:rFonts w:eastAsia="Times New Roman"/>
                <w:b/>
                <w:bCs/>
                <w:i/>
                <w:iCs/>
                <w:color w:val="000000"/>
              </w:rPr>
              <w:t>Års Resultat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8E050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F223D31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17EA6">
              <w:rPr>
                <w:rFonts w:eastAsia="Times New Roman"/>
                <w:b/>
                <w:bCs/>
                <w:i/>
                <w:iCs/>
                <w:color w:val="000000"/>
              </w:rPr>
              <w:t>-2 700</w:t>
            </w:r>
          </w:p>
        </w:tc>
      </w:tr>
      <w:tr w:rsidR="00F17EA6" w:rsidRPr="00F17EA6" w14:paraId="6CD9D084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ADF237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D9111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hideMark/>
          </w:tcPr>
          <w:p w14:paraId="70830167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b/>
                <w:bCs/>
                <w:i/>
                <w:iCs/>
                <w:color w:val="000000"/>
              </w:rPr>
            </w:pPr>
            <w:r w:rsidRPr="00F17EA6">
              <w:rPr>
                <w:rFonts w:eastAsia="Times New Roman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F17EA6" w:rsidRPr="00F17EA6" w14:paraId="354E50CD" w14:textId="77777777" w:rsidTr="00F17EA6">
        <w:trPr>
          <w:trHeight w:val="288"/>
        </w:trPr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hideMark/>
          </w:tcPr>
          <w:p w14:paraId="7B213AC8" w14:textId="5DE6B977" w:rsidR="00F17EA6" w:rsidRPr="00F17EA6" w:rsidRDefault="00F17EA6" w:rsidP="00F17EA6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  <w:r w:rsidRPr="00F17EA6">
              <w:rPr>
                <w:rFonts w:eastAsia="Times New Roman"/>
                <w:i/>
                <w:iCs/>
                <w:color w:val="000000"/>
              </w:rPr>
              <w:t xml:space="preserve">Ingående </w:t>
            </w:r>
            <w:proofErr w:type="gramStart"/>
            <w:r w:rsidRPr="00F17EA6">
              <w:rPr>
                <w:rFonts w:eastAsia="Times New Roman"/>
                <w:i/>
                <w:iCs/>
                <w:color w:val="000000"/>
              </w:rPr>
              <w:t>saldo  konto</w:t>
            </w:r>
            <w:proofErr w:type="gramEnd"/>
            <w:r w:rsidR="00896EA2">
              <w:rPr>
                <w:rFonts w:eastAsia="Times New Roman"/>
                <w:i/>
                <w:iCs/>
                <w:color w:val="000000"/>
              </w:rPr>
              <w:t xml:space="preserve"> vid datum 209-01-01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10716" w14:textId="77777777" w:rsidR="00F17EA6" w:rsidRPr="00F17EA6" w:rsidRDefault="00F17EA6" w:rsidP="00F17EA6">
            <w:pPr>
              <w:spacing w:after="0" w:line="240" w:lineRule="auto"/>
              <w:rPr>
                <w:rFonts w:eastAsia="Times New Roman"/>
                <w:i/>
                <w:iCs/>
                <w:color w:val="000000"/>
              </w:rPr>
            </w:pP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nil"/>
            </w:tcBorders>
            <w:shd w:val="clear" w:color="000000" w:fill="FCD5B4"/>
            <w:vAlign w:val="bottom"/>
            <w:hideMark/>
          </w:tcPr>
          <w:p w14:paraId="3519AEA9" w14:textId="77777777" w:rsidR="00F17EA6" w:rsidRPr="00F17EA6" w:rsidRDefault="00F17EA6" w:rsidP="00F17EA6">
            <w:pPr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</w:rPr>
            </w:pPr>
            <w:r w:rsidRPr="00F17EA6">
              <w:rPr>
                <w:rFonts w:eastAsia="Times New Roman"/>
                <w:i/>
                <w:iCs/>
                <w:color w:val="000000"/>
              </w:rPr>
              <w:t>152 tkr</w:t>
            </w:r>
          </w:p>
        </w:tc>
        <w:bookmarkStart w:id="0" w:name="_GoBack"/>
        <w:bookmarkEnd w:id="0"/>
      </w:tr>
    </w:tbl>
    <w:p w14:paraId="5FD1ED41" w14:textId="77777777" w:rsidR="00DA0002" w:rsidRDefault="00DA0002"/>
    <w:p w14:paraId="00000016" w14:textId="77777777" w:rsidR="00BE6AD1" w:rsidRDefault="00BE6AD1"/>
    <w:sectPr w:rsidR="00BE6AD1">
      <w:pgSz w:w="11906" w:h="16838"/>
      <w:pgMar w:top="1440" w:right="1440" w:bottom="144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E2689C" w14:textId="77777777" w:rsidR="00637D5A" w:rsidRDefault="00637D5A" w:rsidP="00F17EA6">
      <w:pPr>
        <w:spacing w:after="0" w:line="240" w:lineRule="auto"/>
      </w:pPr>
      <w:r>
        <w:separator/>
      </w:r>
    </w:p>
  </w:endnote>
  <w:endnote w:type="continuationSeparator" w:id="0">
    <w:p w14:paraId="617A4F67" w14:textId="77777777" w:rsidR="00637D5A" w:rsidRDefault="00637D5A" w:rsidP="00F17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78AB92" w14:textId="77777777" w:rsidR="00637D5A" w:rsidRDefault="00637D5A" w:rsidP="00F17EA6">
      <w:pPr>
        <w:spacing w:after="0" w:line="240" w:lineRule="auto"/>
      </w:pPr>
      <w:r>
        <w:separator/>
      </w:r>
    </w:p>
  </w:footnote>
  <w:footnote w:type="continuationSeparator" w:id="0">
    <w:p w14:paraId="0ED2F085" w14:textId="77777777" w:rsidR="00637D5A" w:rsidRDefault="00637D5A" w:rsidP="00F17E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82CBE"/>
    <w:multiLevelType w:val="multilevel"/>
    <w:tmpl w:val="42CE3F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AD1"/>
    <w:rsid w:val="000A37B8"/>
    <w:rsid w:val="00637D5A"/>
    <w:rsid w:val="00896EA2"/>
    <w:rsid w:val="00BE6AD1"/>
    <w:rsid w:val="00DA0002"/>
    <w:rsid w:val="00F1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0BB72"/>
  <w15:docId w15:val="{31FB92FA-19B2-4177-BBB4-584D1E475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dhuvud">
    <w:name w:val="header"/>
    <w:basedOn w:val="Normal"/>
    <w:link w:val="SidhuvudChar"/>
    <w:uiPriority w:val="99"/>
    <w:unhideWhenUsed/>
    <w:rsid w:val="00F17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7EA6"/>
  </w:style>
  <w:style w:type="paragraph" w:styleId="Sidfot">
    <w:name w:val="footer"/>
    <w:basedOn w:val="Normal"/>
    <w:link w:val="SidfotChar"/>
    <w:uiPriority w:val="99"/>
    <w:unhideWhenUsed/>
    <w:rsid w:val="00F17E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7E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91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448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Annelie</dc:creator>
  <cp:lastModifiedBy>Annelie Lundell</cp:lastModifiedBy>
  <cp:revision>5</cp:revision>
  <dcterms:created xsi:type="dcterms:W3CDTF">2019-05-27T20:16:00Z</dcterms:created>
  <dcterms:modified xsi:type="dcterms:W3CDTF">2019-05-27T20:26:00Z</dcterms:modified>
</cp:coreProperties>
</file>