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4EB7E" w14:textId="31DF94AA" w:rsidR="00E67377" w:rsidRDefault="00D13C5B">
      <w:pPr>
        <w:pStyle w:val="Brdtext"/>
        <w:spacing w:before="48" w:after="19"/>
        <w:ind w:left="3860" w:right="3873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27A0B7AF" wp14:editId="5BB37264">
            <wp:simplePos x="0" y="0"/>
            <wp:positionH relativeFrom="page">
              <wp:posOffset>1455420</wp:posOffset>
            </wp:positionH>
            <wp:positionV relativeFrom="paragraph">
              <wp:posOffset>125095</wp:posOffset>
            </wp:positionV>
            <wp:extent cx="1132205" cy="1303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2020-10-17</w:t>
      </w:r>
    </w:p>
    <w:p w14:paraId="7C2B1F7B" w14:textId="77777777" w:rsidR="00E67377" w:rsidRDefault="00D13C5B">
      <w:pPr>
        <w:pStyle w:val="Brdtext"/>
        <w:ind w:left="6130"/>
        <w:rPr>
          <w:sz w:val="20"/>
        </w:rPr>
      </w:pPr>
      <w:r>
        <w:rPr>
          <w:noProof/>
        </w:rPr>
        <w:drawing>
          <wp:inline distT="0" distB="0" distL="0" distR="0" wp14:anchorId="0E383A8D" wp14:editId="1E2AECFF">
            <wp:extent cx="1254760" cy="1148715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3A24E" w14:textId="77777777" w:rsidR="00E67377" w:rsidRDefault="00E67377">
      <w:pPr>
        <w:pStyle w:val="Brdtext"/>
        <w:rPr>
          <w:sz w:val="20"/>
        </w:rPr>
      </w:pPr>
    </w:p>
    <w:p w14:paraId="12563E1D" w14:textId="77777777" w:rsidR="00E67377" w:rsidRDefault="00E67377">
      <w:pPr>
        <w:pStyle w:val="Brdtext"/>
        <w:rPr>
          <w:sz w:val="20"/>
        </w:rPr>
      </w:pPr>
    </w:p>
    <w:p w14:paraId="1199A5B8" w14:textId="77777777" w:rsidR="00E67377" w:rsidRDefault="00E67377">
      <w:pPr>
        <w:pStyle w:val="Brdtext"/>
        <w:rPr>
          <w:sz w:val="20"/>
        </w:rPr>
      </w:pPr>
    </w:p>
    <w:p w14:paraId="4C4FEACA" w14:textId="77777777" w:rsidR="002907FC" w:rsidRDefault="002907FC" w:rsidP="002907FC">
      <w:pPr>
        <w:rPr>
          <w:b/>
          <w:bCs/>
          <w:sz w:val="32"/>
          <w:szCs w:val="32"/>
          <w:u w:val="single"/>
        </w:rPr>
      </w:pPr>
    </w:p>
    <w:p w14:paraId="30EF366E" w14:textId="4257FFFB" w:rsidR="002907FC" w:rsidRPr="002907FC" w:rsidRDefault="002907FC" w:rsidP="002907FC">
      <w:pPr>
        <w:ind w:left="130"/>
        <w:rPr>
          <w:rFonts w:asciiTheme="minorHAnsi" w:hAnsiTheme="minorHAnsi" w:cstheme="minorHAnsi"/>
          <w:b/>
          <w:bCs/>
          <w:sz w:val="32"/>
          <w:szCs w:val="32"/>
        </w:rPr>
      </w:pPr>
      <w:r w:rsidRPr="002907FC">
        <w:rPr>
          <w:rFonts w:asciiTheme="minorHAnsi" w:hAnsiTheme="minorHAnsi" w:cstheme="minorHAnsi"/>
          <w:b/>
          <w:bCs/>
          <w:sz w:val="32"/>
          <w:szCs w:val="32"/>
        </w:rPr>
        <w:t xml:space="preserve">Bestämmelser för </w:t>
      </w:r>
      <w:r w:rsidRPr="002907FC">
        <w:rPr>
          <w:rFonts w:asciiTheme="minorHAnsi" w:hAnsiTheme="minorHAnsi" w:cstheme="minorHAnsi"/>
          <w:b/>
          <w:bCs/>
          <w:sz w:val="32"/>
          <w:szCs w:val="32"/>
        </w:rPr>
        <w:t>tävlingsmatcher i Arena Skövde</w:t>
      </w:r>
      <w:r w:rsidRPr="002907FC">
        <w:rPr>
          <w:rFonts w:asciiTheme="minorHAnsi" w:hAnsiTheme="minorHAnsi" w:cstheme="minorHAnsi"/>
          <w:b/>
          <w:bCs/>
          <w:sz w:val="32"/>
          <w:szCs w:val="32"/>
        </w:rPr>
        <w:t xml:space="preserve"> arrangerade av IFK Skövde handboll</w:t>
      </w:r>
    </w:p>
    <w:p w14:paraId="51C83179" w14:textId="77777777" w:rsidR="00E67377" w:rsidRPr="002907FC" w:rsidRDefault="00E67377">
      <w:pPr>
        <w:pStyle w:val="Brdtext"/>
        <w:rPr>
          <w:rFonts w:asciiTheme="minorHAnsi" w:hAnsiTheme="minorHAnsi" w:cstheme="minorHAnsi"/>
          <w:b/>
          <w:sz w:val="24"/>
        </w:rPr>
      </w:pPr>
    </w:p>
    <w:p w14:paraId="081ED2FD" w14:textId="34C59D79" w:rsidR="00E67377" w:rsidRPr="002907FC" w:rsidRDefault="00D13C5B">
      <w:pPr>
        <w:spacing w:before="60" w:line="264" w:lineRule="auto"/>
        <w:ind w:left="130" w:right="229"/>
        <w:rPr>
          <w:rFonts w:asciiTheme="minorHAnsi" w:hAnsiTheme="minorHAnsi" w:cstheme="minorHAnsi"/>
          <w:bCs/>
        </w:rPr>
      </w:pPr>
      <w:r w:rsidRPr="002907FC">
        <w:rPr>
          <w:rFonts w:asciiTheme="minorHAnsi" w:hAnsiTheme="minorHAnsi" w:cstheme="minorHAnsi"/>
          <w:bCs/>
        </w:rPr>
        <w:t xml:space="preserve">På grund av rådande smittorisk gällande COVID-19 ska samtliga deltagande lag, domare, delegater, funktionärer, publik och övriga som </w:t>
      </w:r>
      <w:r w:rsidRPr="002907FC">
        <w:rPr>
          <w:rFonts w:asciiTheme="minorHAnsi" w:hAnsiTheme="minorHAnsi" w:cstheme="minorHAnsi"/>
          <w:bCs/>
        </w:rPr>
        <w:t xml:space="preserve">vistas i de lokaler som disponeras av IFK Skövde handboll vid nationella tävlingsmatcher i </w:t>
      </w:r>
      <w:r w:rsidR="002907FC" w:rsidRPr="002907FC">
        <w:rPr>
          <w:rFonts w:asciiTheme="minorHAnsi" w:hAnsiTheme="minorHAnsi" w:cstheme="minorHAnsi"/>
          <w:bCs/>
        </w:rPr>
        <w:t>A-, B- och C</w:t>
      </w:r>
      <w:r w:rsidRPr="002907FC">
        <w:rPr>
          <w:rFonts w:asciiTheme="minorHAnsi" w:hAnsiTheme="minorHAnsi" w:cstheme="minorHAnsi"/>
          <w:bCs/>
        </w:rPr>
        <w:t>-hallen i alla delar följa de allmänna bestämmelser och rekommendationer som Folkhälsomyndigheten, Svenska Handbollförbundet och Handbollsligan har utfärdat. Föruto</w:t>
      </w:r>
      <w:r w:rsidRPr="002907FC">
        <w:rPr>
          <w:rFonts w:asciiTheme="minorHAnsi" w:hAnsiTheme="minorHAnsi" w:cstheme="minorHAnsi"/>
          <w:bCs/>
        </w:rPr>
        <w:t>m dessa bestämmelser ska samtliga följa de tilläggsbestämmelser som har utfärdats av IFK Skövde handboll organisationsledning gällande hemmamatcher i Handbollsligan.</w:t>
      </w:r>
    </w:p>
    <w:p w14:paraId="2190FA32" w14:textId="77777777" w:rsidR="00E67377" w:rsidRPr="002907FC" w:rsidRDefault="00E67377">
      <w:pPr>
        <w:pStyle w:val="Brdtext"/>
        <w:spacing w:before="9"/>
        <w:rPr>
          <w:rFonts w:asciiTheme="minorHAnsi" w:hAnsiTheme="minorHAnsi" w:cstheme="minorHAnsi"/>
          <w:bCs/>
          <w:sz w:val="23"/>
        </w:rPr>
      </w:pPr>
    </w:p>
    <w:p w14:paraId="51DB122D" w14:textId="77777777" w:rsidR="00E67377" w:rsidRPr="002907FC" w:rsidRDefault="00D13C5B">
      <w:pPr>
        <w:pStyle w:val="Rubrik1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Allmänt</w:t>
      </w:r>
    </w:p>
    <w:p w14:paraId="5C552329" w14:textId="1B7AC6B0" w:rsidR="00E67377" w:rsidRPr="002907FC" w:rsidRDefault="00D13C5B">
      <w:pPr>
        <w:pStyle w:val="Brdtext"/>
        <w:spacing w:before="28" w:line="264" w:lineRule="auto"/>
        <w:ind w:left="130" w:right="229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 xml:space="preserve">Fysisk kontakt </w:t>
      </w:r>
      <w:r w:rsidRPr="002907FC">
        <w:rPr>
          <w:rFonts w:asciiTheme="minorHAnsi" w:hAnsiTheme="minorHAnsi" w:cstheme="minorHAnsi"/>
        </w:rPr>
        <w:t>ska generellt undvikas. Detta innefattar ett minsta avstånd mella</w:t>
      </w:r>
      <w:r w:rsidRPr="002907FC">
        <w:rPr>
          <w:rFonts w:asciiTheme="minorHAnsi" w:hAnsiTheme="minorHAnsi" w:cstheme="minorHAnsi"/>
        </w:rPr>
        <w:t>n personer av</w:t>
      </w:r>
      <w:r w:rsidRPr="002907FC">
        <w:rPr>
          <w:rFonts w:asciiTheme="minorHAnsi" w:hAnsiTheme="minorHAnsi" w:cstheme="minorHAnsi"/>
        </w:rPr>
        <w:t xml:space="preserve"> 1 meter. När det gäller matchspel och fysisk kontakt mellan spelare finns det inga generella begränsningar.</w:t>
      </w:r>
    </w:p>
    <w:p w14:paraId="4932BB6E" w14:textId="77777777" w:rsidR="00E67377" w:rsidRPr="002907FC" w:rsidRDefault="00E67377">
      <w:pPr>
        <w:pStyle w:val="Brdtext"/>
        <w:spacing w:before="2"/>
        <w:rPr>
          <w:rFonts w:asciiTheme="minorHAnsi" w:hAnsiTheme="minorHAnsi" w:cstheme="minorHAnsi"/>
          <w:sz w:val="28"/>
        </w:rPr>
      </w:pPr>
    </w:p>
    <w:p w14:paraId="3A4D3524" w14:textId="77777777" w:rsidR="00E67377" w:rsidRPr="002907FC" w:rsidRDefault="00D13C5B">
      <w:pPr>
        <w:pStyle w:val="Rubrik1"/>
        <w:spacing w:before="1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Matchområde</w:t>
      </w:r>
    </w:p>
    <w:p w14:paraId="3EFC792D" w14:textId="77777777" w:rsidR="00E67377" w:rsidRPr="002907FC" w:rsidRDefault="00D13C5B">
      <w:pPr>
        <w:pStyle w:val="Brdtext"/>
        <w:spacing w:before="30" w:line="264" w:lineRule="auto"/>
        <w:ind w:left="130" w:right="229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Med matchområde avses de lokaler och ytor som är tillträdesbegränsade från övrig verksamhet på Arena Skövde.</w:t>
      </w:r>
    </w:p>
    <w:p w14:paraId="76C177AE" w14:textId="77777777" w:rsidR="00E67377" w:rsidRPr="002907FC" w:rsidRDefault="00D13C5B">
      <w:pPr>
        <w:pStyle w:val="Brdtext"/>
        <w:spacing w:line="264" w:lineRule="auto"/>
        <w:ind w:left="130" w:right="229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Tillträde t</w:t>
      </w:r>
      <w:r w:rsidRPr="002907FC">
        <w:rPr>
          <w:rFonts w:asciiTheme="minorHAnsi" w:hAnsiTheme="minorHAnsi" w:cstheme="minorHAnsi"/>
        </w:rPr>
        <w:t>ill matchområdet har endast deltagande lag, domare, funktionärer, delegater, ackrediterade massmediarepresentanter samt begränsat antal publik.</w:t>
      </w:r>
    </w:p>
    <w:p w14:paraId="77194139" w14:textId="1048A88F" w:rsidR="00E67377" w:rsidRPr="002907FC" w:rsidRDefault="00D13C5B">
      <w:pPr>
        <w:pStyle w:val="Brdtext"/>
        <w:spacing w:line="264" w:lineRule="auto"/>
        <w:ind w:left="130" w:right="391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Avsteg från tillträdesregeln beslutas av IFK Skövde handboll organisationsledning. Avspärrade områden som marker</w:t>
      </w:r>
      <w:r w:rsidRPr="002907FC">
        <w:rPr>
          <w:rFonts w:asciiTheme="minorHAnsi" w:hAnsiTheme="minorHAnsi" w:cstheme="minorHAnsi"/>
        </w:rPr>
        <w:t>as med skylt och/eller avspärrningsband, får ej beträdas.</w:t>
      </w:r>
    </w:p>
    <w:p w14:paraId="4E773351" w14:textId="4DF87B33" w:rsidR="002907FC" w:rsidRPr="002907FC" w:rsidRDefault="002907FC">
      <w:pPr>
        <w:pStyle w:val="Brdtext"/>
        <w:spacing w:line="264" w:lineRule="auto"/>
        <w:ind w:left="130" w:right="391"/>
        <w:rPr>
          <w:rFonts w:asciiTheme="minorHAnsi" w:hAnsiTheme="minorHAnsi" w:cstheme="minorHAnsi"/>
        </w:rPr>
      </w:pPr>
    </w:p>
    <w:p w14:paraId="6B0E8D7E" w14:textId="77777777" w:rsidR="002907FC" w:rsidRPr="002907FC" w:rsidRDefault="002907FC" w:rsidP="002907FC">
      <w:pPr>
        <w:ind w:firstLine="130"/>
        <w:rPr>
          <w:rFonts w:asciiTheme="minorHAnsi" w:hAnsiTheme="minorHAnsi" w:cstheme="minorHAnsi"/>
          <w:b/>
          <w:bCs/>
          <w:sz w:val="26"/>
          <w:szCs w:val="26"/>
        </w:rPr>
      </w:pPr>
      <w:r w:rsidRPr="002907FC">
        <w:rPr>
          <w:rFonts w:asciiTheme="minorHAnsi" w:hAnsiTheme="minorHAnsi" w:cstheme="minorHAnsi"/>
          <w:b/>
          <w:bCs/>
          <w:sz w:val="26"/>
          <w:szCs w:val="26"/>
        </w:rPr>
        <w:t>Materiel och utrustning</w:t>
      </w:r>
    </w:p>
    <w:p w14:paraId="28570865" w14:textId="589A1557" w:rsidR="002907FC" w:rsidRPr="002907FC" w:rsidRDefault="002907FC" w:rsidP="002907FC">
      <w:pPr>
        <w:ind w:firstLine="130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Efter genomförd match rengörs den materiel och utrustning som har använts.</w:t>
      </w:r>
    </w:p>
    <w:p w14:paraId="2A319215" w14:textId="4ABE038C" w:rsidR="002907FC" w:rsidRPr="002907FC" w:rsidRDefault="002907FC" w:rsidP="002907FC">
      <w:pPr>
        <w:ind w:firstLine="130"/>
        <w:rPr>
          <w:rFonts w:asciiTheme="minorHAnsi" w:hAnsiTheme="minorHAnsi" w:cstheme="minorHAnsi"/>
          <w:sz w:val="24"/>
          <w:szCs w:val="24"/>
        </w:rPr>
      </w:pPr>
    </w:p>
    <w:p w14:paraId="32D4E6BB" w14:textId="77777777" w:rsidR="002907FC" w:rsidRPr="002907FC" w:rsidRDefault="002907FC" w:rsidP="002907FC">
      <w:pPr>
        <w:ind w:left="130"/>
        <w:rPr>
          <w:rFonts w:asciiTheme="minorHAnsi" w:hAnsiTheme="minorHAnsi" w:cstheme="minorHAnsi"/>
          <w:b/>
          <w:bCs/>
          <w:sz w:val="26"/>
          <w:szCs w:val="26"/>
        </w:rPr>
      </w:pPr>
      <w:r w:rsidRPr="002907FC">
        <w:rPr>
          <w:rFonts w:asciiTheme="minorHAnsi" w:hAnsiTheme="minorHAnsi" w:cstheme="minorHAnsi"/>
          <w:b/>
          <w:bCs/>
          <w:sz w:val="26"/>
          <w:szCs w:val="26"/>
        </w:rPr>
        <w:t>Klädkod</w:t>
      </w:r>
    </w:p>
    <w:p w14:paraId="2CA46B14" w14:textId="77777777" w:rsidR="002907FC" w:rsidRPr="002907FC" w:rsidRDefault="002907FC" w:rsidP="002907FC">
      <w:pPr>
        <w:ind w:left="130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Samtliga deltagande lag ska komma ombytta till matchområdet.</w:t>
      </w:r>
    </w:p>
    <w:p w14:paraId="3AAC9B42" w14:textId="77777777" w:rsidR="002907FC" w:rsidRPr="002907FC" w:rsidRDefault="002907FC" w:rsidP="002907FC">
      <w:pPr>
        <w:ind w:left="130"/>
        <w:rPr>
          <w:rFonts w:asciiTheme="minorHAnsi" w:hAnsiTheme="minorHAnsi" w:cstheme="minorHAnsi"/>
          <w:b/>
          <w:bCs/>
          <w:sz w:val="28"/>
          <w:szCs w:val="28"/>
        </w:rPr>
      </w:pPr>
    </w:p>
    <w:p w14:paraId="0ACD0746" w14:textId="77777777" w:rsidR="002907FC" w:rsidRPr="002907FC" w:rsidRDefault="002907FC" w:rsidP="002907FC">
      <w:pPr>
        <w:ind w:left="130"/>
        <w:rPr>
          <w:rFonts w:asciiTheme="minorHAnsi" w:hAnsiTheme="minorHAnsi" w:cstheme="minorHAnsi"/>
          <w:b/>
          <w:bCs/>
          <w:sz w:val="26"/>
          <w:szCs w:val="26"/>
        </w:rPr>
      </w:pPr>
      <w:r w:rsidRPr="002907FC">
        <w:rPr>
          <w:rFonts w:asciiTheme="minorHAnsi" w:hAnsiTheme="minorHAnsi" w:cstheme="minorHAnsi"/>
          <w:b/>
          <w:bCs/>
          <w:sz w:val="26"/>
          <w:szCs w:val="26"/>
        </w:rPr>
        <w:t>Omklädningsrum</w:t>
      </w:r>
    </w:p>
    <w:p w14:paraId="769CC92A" w14:textId="21858514" w:rsidR="002907FC" w:rsidRDefault="002907FC" w:rsidP="002907FC">
      <w:pPr>
        <w:ind w:left="130"/>
        <w:rPr>
          <w:rFonts w:ascii="Calibri" w:hAnsi="Calibri" w:cs="Calibri"/>
        </w:rPr>
      </w:pPr>
      <w:r w:rsidRPr="002907FC">
        <w:rPr>
          <w:rFonts w:ascii="Calibri" w:hAnsi="Calibri" w:cs="Calibri"/>
        </w:rPr>
        <w:t>Omklädningsrum disponeras av gästande lag samt domare.</w:t>
      </w:r>
    </w:p>
    <w:p w14:paraId="1A4F102F" w14:textId="662C8C3A" w:rsidR="002907FC" w:rsidRDefault="002907FC" w:rsidP="002907FC">
      <w:pPr>
        <w:ind w:left="130"/>
        <w:rPr>
          <w:rFonts w:ascii="Calibri" w:hAnsi="Calibri" w:cs="Calibri"/>
        </w:rPr>
      </w:pPr>
    </w:p>
    <w:p w14:paraId="560C6CE7" w14:textId="35BABFF9" w:rsidR="002907FC" w:rsidRDefault="002907FC" w:rsidP="002907FC">
      <w:pPr>
        <w:ind w:left="130"/>
        <w:rPr>
          <w:rFonts w:ascii="Calibri" w:hAnsi="Calibri" w:cs="Calibri"/>
        </w:rPr>
      </w:pPr>
    </w:p>
    <w:p w14:paraId="58637611" w14:textId="77777777" w:rsidR="002907FC" w:rsidRPr="002907FC" w:rsidRDefault="002907FC" w:rsidP="002907FC">
      <w:pPr>
        <w:ind w:left="130"/>
        <w:rPr>
          <w:rFonts w:ascii="Calibri" w:hAnsi="Calibri" w:cs="Calibri"/>
        </w:rPr>
      </w:pPr>
    </w:p>
    <w:p w14:paraId="769AFC7B" w14:textId="77777777" w:rsidR="002907FC" w:rsidRPr="002907FC" w:rsidRDefault="002907FC" w:rsidP="002907FC">
      <w:pPr>
        <w:ind w:firstLine="130"/>
        <w:rPr>
          <w:rFonts w:asciiTheme="minorHAnsi" w:hAnsiTheme="minorHAnsi" w:cstheme="minorHAnsi"/>
          <w:sz w:val="24"/>
          <w:szCs w:val="24"/>
        </w:rPr>
      </w:pPr>
    </w:p>
    <w:p w14:paraId="1EE82105" w14:textId="77777777" w:rsidR="00E67377" w:rsidRPr="002907FC" w:rsidRDefault="00E67377">
      <w:pPr>
        <w:pStyle w:val="Brdtext"/>
        <w:spacing w:before="11"/>
        <w:rPr>
          <w:rFonts w:asciiTheme="minorHAnsi" w:hAnsiTheme="minorHAnsi" w:cstheme="minorHAnsi"/>
          <w:sz w:val="23"/>
        </w:rPr>
      </w:pPr>
    </w:p>
    <w:p w14:paraId="4A47734A" w14:textId="77777777" w:rsidR="00E67377" w:rsidRPr="002907FC" w:rsidRDefault="00D13C5B">
      <w:pPr>
        <w:pStyle w:val="Rubrik1"/>
        <w:spacing w:before="1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lastRenderedPageBreak/>
        <w:t>Publik</w:t>
      </w:r>
    </w:p>
    <w:p w14:paraId="321EB9BF" w14:textId="1C37076C" w:rsidR="00E67377" w:rsidRPr="002907FC" w:rsidRDefault="00D13C5B">
      <w:pPr>
        <w:spacing w:before="28" w:line="264" w:lineRule="auto"/>
        <w:ind w:left="130" w:right="391"/>
        <w:rPr>
          <w:rFonts w:asciiTheme="minorHAnsi" w:hAnsiTheme="minorHAnsi" w:cstheme="minorHAnsi"/>
          <w:iCs/>
        </w:rPr>
      </w:pPr>
      <w:r w:rsidRPr="002907FC">
        <w:rPr>
          <w:rFonts w:asciiTheme="minorHAnsi" w:hAnsiTheme="minorHAnsi" w:cstheme="minorHAnsi"/>
        </w:rPr>
        <w:t>Max 50 personer som representerar publik får släppas in på matchområdet.</w:t>
      </w:r>
      <w:r w:rsidR="002907FC" w:rsidRPr="002907FC">
        <w:rPr>
          <w:rFonts w:asciiTheme="minorHAnsi" w:hAnsiTheme="minorHAnsi" w:cstheme="minorHAnsi"/>
        </w:rPr>
        <w:t xml:space="preserve"> </w:t>
      </w:r>
      <w:r w:rsidRPr="002907FC">
        <w:rPr>
          <w:rFonts w:asciiTheme="minorHAnsi" w:hAnsiTheme="minorHAnsi" w:cstheme="minorHAnsi"/>
          <w:iCs/>
        </w:rPr>
        <w:t>Ankommandepublik</w:t>
      </w:r>
      <w:r w:rsidRPr="002907FC">
        <w:rPr>
          <w:rFonts w:asciiTheme="minorHAnsi" w:hAnsiTheme="minorHAnsi" w:cstheme="minorHAnsi"/>
          <w:i/>
        </w:rPr>
        <w:t xml:space="preserve"> </w:t>
      </w:r>
      <w:r w:rsidRPr="002907FC">
        <w:rPr>
          <w:rFonts w:asciiTheme="minorHAnsi" w:hAnsiTheme="minorHAnsi" w:cstheme="minorHAnsi"/>
          <w:iCs/>
        </w:rPr>
        <w:t>ska in- och utpassera via huvudentrén Arena Skövde</w:t>
      </w:r>
      <w:r w:rsidRPr="002907FC">
        <w:rPr>
          <w:rFonts w:asciiTheme="minorHAnsi" w:hAnsiTheme="minorHAnsi" w:cstheme="minorHAnsi"/>
          <w:iCs/>
        </w:rPr>
        <w:t xml:space="preserve">. Biljettförsäljning genomförs endast med </w:t>
      </w:r>
      <w:r w:rsidRPr="002907FC">
        <w:rPr>
          <w:rFonts w:asciiTheme="minorHAnsi" w:hAnsiTheme="minorHAnsi" w:cstheme="minorHAnsi"/>
          <w:iCs/>
        </w:rPr>
        <w:t>SWISH.</w:t>
      </w:r>
    </w:p>
    <w:p w14:paraId="5FC8A263" w14:textId="77777777" w:rsidR="00E67377" w:rsidRPr="002907FC" w:rsidRDefault="00D13C5B">
      <w:pPr>
        <w:pStyle w:val="Brdtext"/>
        <w:spacing w:line="264" w:lineRule="auto"/>
        <w:ind w:left="130" w:right="229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Matcharenan nyttjas i sin helhet men med endast ordinarie sittplatser. Varje person ska placera sig så att det finns en radie av minst 1 meter till nästa person. Sällskap om två personer kan sitta tillsammans men ska fortfarande ha minst 1 meter til</w:t>
      </w:r>
      <w:r w:rsidRPr="002907FC">
        <w:rPr>
          <w:rFonts w:asciiTheme="minorHAnsi" w:hAnsiTheme="minorHAnsi" w:cstheme="minorHAnsi"/>
        </w:rPr>
        <w:t>l nästa utomstående person.</w:t>
      </w:r>
    </w:p>
    <w:p w14:paraId="78CA43B2" w14:textId="77777777" w:rsidR="00E67377" w:rsidRDefault="00E67377"/>
    <w:p w14:paraId="42D6CFB0" w14:textId="77777777" w:rsidR="00E67377" w:rsidRPr="002907FC" w:rsidRDefault="00D13C5B">
      <w:pPr>
        <w:pStyle w:val="Rubrik1"/>
        <w:spacing w:before="26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Gästande lag</w:t>
      </w:r>
    </w:p>
    <w:p w14:paraId="45EA72B2" w14:textId="35572D44" w:rsidR="00E67377" w:rsidRPr="002907FC" w:rsidRDefault="00D13C5B">
      <w:pPr>
        <w:spacing w:before="28" w:line="264" w:lineRule="auto"/>
        <w:ind w:left="130" w:right="391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 xml:space="preserve">Vid ingången finns en </w:t>
      </w:r>
      <w:r w:rsidR="002907FC" w:rsidRPr="002907FC">
        <w:rPr>
          <w:rFonts w:asciiTheme="minorHAnsi" w:hAnsiTheme="minorHAnsi" w:cstheme="minorHAnsi"/>
        </w:rPr>
        <w:t>matchvärd/</w:t>
      </w:r>
      <w:r w:rsidRPr="002907FC">
        <w:rPr>
          <w:rFonts w:asciiTheme="minorHAnsi" w:hAnsiTheme="minorHAnsi" w:cstheme="minorHAnsi"/>
        </w:rPr>
        <w:t>entréfunktionär där</w:t>
      </w:r>
      <w:r w:rsidRPr="002907FC">
        <w:rPr>
          <w:rFonts w:asciiTheme="minorHAnsi" w:hAnsiTheme="minorHAnsi" w:cstheme="minorHAnsi"/>
        </w:rPr>
        <w:t xml:space="preserve"> ankomstanmälan ska göras. Där ska laget erhålla eventuellt ytterligare information samt vägledas till tilldelat</w:t>
      </w:r>
      <w:r w:rsidRPr="002907FC">
        <w:rPr>
          <w:rFonts w:asciiTheme="minorHAnsi" w:hAnsiTheme="minorHAnsi" w:cstheme="minorHAnsi"/>
          <w:spacing w:val="14"/>
        </w:rPr>
        <w:t>omklädningsrum.</w:t>
      </w:r>
    </w:p>
    <w:p w14:paraId="594E9381" w14:textId="2DE9DAA4" w:rsidR="00E67377" w:rsidRPr="002907FC" w:rsidRDefault="00D13C5B" w:rsidP="002907FC">
      <w:pPr>
        <w:pStyle w:val="Brdtext"/>
        <w:spacing w:line="264" w:lineRule="auto"/>
        <w:ind w:left="130" w:right="355"/>
        <w:jc w:val="both"/>
        <w:rPr>
          <w:rFonts w:asciiTheme="minorHAnsi" w:hAnsiTheme="minorHAnsi" w:cstheme="minorHAnsi"/>
          <w:sz w:val="26"/>
        </w:rPr>
      </w:pPr>
      <w:r w:rsidRPr="002907FC">
        <w:rPr>
          <w:rFonts w:asciiTheme="minorHAnsi" w:hAnsiTheme="minorHAnsi" w:cstheme="minorHAnsi"/>
        </w:rPr>
        <w:t>Efter avslutad match formerar sig respektive lag och domare enligt traditionella rutiner där lagen tackar varandra och domarna f</w:t>
      </w:r>
      <w:r w:rsidRPr="002907FC">
        <w:rPr>
          <w:rFonts w:asciiTheme="minorHAnsi" w:hAnsiTheme="minorHAnsi" w:cstheme="minorHAnsi"/>
        </w:rPr>
        <w:t>ör matchen medelst ”knoghälsning”, utan övrig fysisk kontakt.</w:t>
      </w:r>
    </w:p>
    <w:p w14:paraId="0FACD548" w14:textId="77777777" w:rsidR="00E67377" w:rsidRPr="002907FC" w:rsidRDefault="00E67377">
      <w:pPr>
        <w:pStyle w:val="Brdtext"/>
        <w:rPr>
          <w:rFonts w:asciiTheme="minorHAnsi" w:hAnsiTheme="minorHAnsi" w:cstheme="minorHAnsi"/>
          <w:sz w:val="27"/>
        </w:rPr>
      </w:pPr>
    </w:p>
    <w:p w14:paraId="5BF70F7D" w14:textId="77777777" w:rsidR="00E67377" w:rsidRPr="002907FC" w:rsidRDefault="00D13C5B">
      <w:pPr>
        <w:pStyle w:val="Rubrik1"/>
        <w:spacing w:before="1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Hygien</w:t>
      </w:r>
    </w:p>
    <w:p w14:paraId="301A05EE" w14:textId="77777777" w:rsidR="00E67377" w:rsidRPr="002907FC" w:rsidRDefault="00D13C5B">
      <w:pPr>
        <w:pStyle w:val="Brdtext"/>
        <w:spacing w:before="25" w:line="264" w:lineRule="auto"/>
        <w:ind w:left="130" w:right="229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I varje omklädningsrum och publika toaletter finns förutom tvålautomater flaskor med handsprit.</w:t>
      </w:r>
    </w:p>
    <w:p w14:paraId="71624351" w14:textId="77777777" w:rsidR="00E67377" w:rsidRPr="002907FC" w:rsidRDefault="00D13C5B">
      <w:pPr>
        <w:pStyle w:val="Brdtext"/>
        <w:spacing w:before="1" w:line="264" w:lineRule="auto"/>
        <w:ind w:left="130" w:right="657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I samband med sidbyte i halvtid rengörs samtliga stolar och bänkar som di</w:t>
      </w:r>
      <w:r w:rsidRPr="002907FC">
        <w:rPr>
          <w:rFonts w:asciiTheme="minorHAnsi" w:hAnsiTheme="minorHAnsi" w:cstheme="minorHAnsi"/>
        </w:rPr>
        <w:t>sponeras av respektive lag under matchen. Detta görs med desinficeringsmedel samt avtorkning. Övrig materiel och teknisk utrustning som har använts under matchen ska rengöras och avtorkas efter genomförd match.</w:t>
      </w:r>
    </w:p>
    <w:p w14:paraId="61BD5BAE" w14:textId="77777777" w:rsidR="00E67377" w:rsidRPr="002907FC" w:rsidRDefault="00E67377">
      <w:pPr>
        <w:pStyle w:val="Brdtext"/>
        <w:rPr>
          <w:rFonts w:asciiTheme="minorHAnsi" w:hAnsiTheme="minorHAnsi" w:cstheme="minorHAnsi"/>
          <w:sz w:val="28"/>
        </w:rPr>
      </w:pPr>
    </w:p>
    <w:p w14:paraId="6FD0D8C8" w14:textId="77777777" w:rsidR="00E67377" w:rsidRPr="002907FC" w:rsidRDefault="00D13C5B">
      <w:pPr>
        <w:pStyle w:val="Rubrik1"/>
        <w:spacing w:before="26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Utrymning</w:t>
      </w:r>
    </w:p>
    <w:p w14:paraId="3A196026" w14:textId="77777777" w:rsidR="00E67377" w:rsidRPr="002907FC" w:rsidRDefault="00D13C5B">
      <w:pPr>
        <w:pStyle w:val="Brdtext"/>
        <w:spacing w:before="28" w:line="264" w:lineRule="auto"/>
        <w:ind w:left="130" w:right="229"/>
        <w:rPr>
          <w:rFonts w:asciiTheme="minorHAnsi" w:hAnsiTheme="minorHAnsi" w:cstheme="minorHAnsi"/>
        </w:rPr>
      </w:pPr>
      <w:r w:rsidRPr="002907FC">
        <w:rPr>
          <w:rFonts w:asciiTheme="minorHAnsi" w:hAnsiTheme="minorHAnsi" w:cstheme="minorHAnsi"/>
        </w:rPr>
        <w:t>Om matchområdet</w:t>
      </w:r>
      <w:r w:rsidRPr="002907FC">
        <w:rPr>
          <w:rFonts w:asciiTheme="minorHAnsi" w:hAnsiTheme="minorHAnsi" w:cstheme="minorHAnsi"/>
        </w:rPr>
        <w:t xml:space="preserve"> måste utrymmas på grund av brandlarm eller annat görs detta genom befintliga utrymningsvägar som finns i varje sektion samt enligt speakers direktiv.</w:t>
      </w:r>
    </w:p>
    <w:p w14:paraId="7A8A766E" w14:textId="77777777" w:rsidR="00E67377" w:rsidRPr="002907FC" w:rsidRDefault="00E67377">
      <w:pPr>
        <w:pStyle w:val="Brdtext"/>
        <w:spacing w:before="1"/>
        <w:rPr>
          <w:rFonts w:asciiTheme="minorHAnsi" w:hAnsiTheme="minorHAnsi" w:cstheme="minorHAnsi"/>
          <w:sz w:val="24"/>
        </w:rPr>
      </w:pPr>
    </w:p>
    <w:p w14:paraId="32CB8C53" w14:textId="77777777" w:rsidR="00E67377" w:rsidRPr="002907FC" w:rsidRDefault="00E67377">
      <w:pPr>
        <w:pStyle w:val="Brdtext"/>
        <w:spacing w:before="4"/>
        <w:rPr>
          <w:rFonts w:asciiTheme="minorHAnsi" w:hAnsiTheme="minorHAnsi" w:cstheme="minorHAnsi"/>
          <w:sz w:val="26"/>
        </w:rPr>
      </w:pPr>
    </w:p>
    <w:sectPr w:rsidR="00E67377" w:rsidRPr="002907FC">
      <w:pgSz w:w="12240" w:h="15840"/>
      <w:pgMar w:top="780" w:right="1720" w:bottom="280" w:left="17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2BB04" w14:textId="77777777" w:rsidR="00D13C5B" w:rsidRDefault="00D13C5B" w:rsidP="00D13C5B">
      <w:r>
        <w:separator/>
      </w:r>
    </w:p>
  </w:endnote>
  <w:endnote w:type="continuationSeparator" w:id="0">
    <w:p w14:paraId="71501695" w14:textId="77777777" w:rsidR="00D13C5B" w:rsidRDefault="00D13C5B" w:rsidP="00D1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900B6" w14:textId="77777777" w:rsidR="00D13C5B" w:rsidRDefault="00D13C5B" w:rsidP="00D13C5B">
      <w:r>
        <w:separator/>
      </w:r>
    </w:p>
  </w:footnote>
  <w:footnote w:type="continuationSeparator" w:id="0">
    <w:p w14:paraId="60A3CFBC" w14:textId="77777777" w:rsidR="00D13C5B" w:rsidRDefault="00D13C5B" w:rsidP="00D13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77"/>
    <w:rsid w:val="002907FC"/>
    <w:rsid w:val="00D13C5B"/>
    <w:rsid w:val="00E6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D953B"/>
  <w15:docId w15:val="{C41F97B6-FDEB-4449-B897-CC41339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sv-SE"/>
    </w:rPr>
  </w:style>
  <w:style w:type="paragraph" w:styleId="Rubrik1">
    <w:name w:val="heading 1"/>
    <w:basedOn w:val="Normal"/>
    <w:uiPriority w:val="9"/>
    <w:qFormat/>
    <w:pPr>
      <w:ind w:left="130"/>
      <w:outlineLvl w:val="0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istLabel1">
    <w:name w:val="ListLabel 1"/>
    <w:qFormat/>
    <w:rPr>
      <w:color w:val="0562C1"/>
      <w:u w:val="single" w:color="0562C1"/>
    </w:rPr>
  </w:style>
  <w:style w:type="character" w:customStyle="1" w:styleId="Internetlnk">
    <w:name w:val="Internetlänk"/>
    <w:rPr>
      <w:color w:val="000080"/>
      <w:u w:val="single"/>
      <w:lang/>
    </w:rPr>
  </w:style>
  <w:style w:type="paragraph" w:styleId="Rubrik">
    <w:name w:val="Title"/>
    <w:basedOn w:val="Normal"/>
    <w:next w:val="Brdtext"/>
    <w:uiPriority w:val="10"/>
    <w:qFormat/>
    <w:pPr>
      <w:spacing w:before="235"/>
      <w:ind w:left="130" w:right="343"/>
    </w:pPr>
    <w:rPr>
      <w:b/>
      <w:bCs/>
      <w:sz w:val="30"/>
      <w:szCs w:val="30"/>
      <w:u w:val="single" w:color="000000"/>
    </w:rPr>
  </w:style>
  <w:style w:type="paragraph" w:styleId="Brdtext">
    <w:name w:val="Body Text"/>
    <w:basedOn w:val="Normal"/>
    <w:uiPriority w:val="1"/>
    <w:qFormat/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COVID-19 Bestammelser for nationella tävlingsmatcher i C-hallen PETMAL02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COVID-19 Bestammelser for nationella tävlingsmatcher i C-hallen PETMAL02</dc:title>
  <dc:subject/>
  <dc:creator>peter</dc:creator>
  <dc:description/>
  <cp:lastModifiedBy>Karlsson Sofia</cp:lastModifiedBy>
  <cp:revision>2</cp:revision>
  <dcterms:created xsi:type="dcterms:W3CDTF">2020-10-17T13:56:00Z</dcterms:created>
  <dcterms:modified xsi:type="dcterms:W3CDTF">2020-10-17T13:56:00Z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2020-10-01T00:00:00Z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2020-10-17T00:00:00Z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