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77777777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  <w:t xml:space="preserve">Dalby IP – Klubbstugan </w:t>
      </w:r>
    </w:p>
    <w:p w14:paraId="6D376CC5" w14:textId="22C4D166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1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proofErr w:type="gramStart"/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5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2D67B027" w14:textId="10A9AD15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>Anna</w:t>
      </w:r>
      <w:r w:rsidR="00B336F0">
        <w:rPr>
          <w:rFonts w:asciiTheme="minorHAnsi" w:hAnsiTheme="minorHAnsi" w:cstheme="minorHAnsi"/>
          <w:color w:val="000000"/>
          <w:sz w:val="17"/>
          <w:szCs w:val="17"/>
        </w:rPr>
        <w:t>-Sofia Mårtensson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 &amp; Sofia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 F1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2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,</w:t>
      </w:r>
    </w:p>
    <w:p w14:paraId="36DF1FC1" w14:textId="6D32EA7D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Sofie </w:t>
      </w:r>
      <w:proofErr w:type="spellStart"/>
      <w:r w:rsidR="004A6C66">
        <w:rPr>
          <w:rFonts w:asciiTheme="minorHAnsi" w:hAnsiTheme="minorHAnsi" w:cstheme="minorHAnsi"/>
          <w:color w:val="000000"/>
          <w:sz w:val="17"/>
          <w:szCs w:val="17"/>
        </w:rPr>
        <w:t>Sernekvist</w:t>
      </w:r>
      <w:proofErr w:type="spellEnd"/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&amp; Markus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Lindblom 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P12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,</w:t>
      </w:r>
    </w:p>
    <w:p w14:paraId="3FD17CF1" w14:textId="45E67811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  <w:lang w:val="en-US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  <w:lang w:val="en-US"/>
        </w:rPr>
        <w:t>Sara</w:t>
      </w:r>
      <w:r w:rsidR="00D416F7">
        <w:rPr>
          <w:rFonts w:asciiTheme="minorHAnsi" w:hAnsiTheme="minorHAnsi" w:cstheme="minorHAnsi"/>
          <w:color w:val="000000"/>
          <w:sz w:val="17"/>
          <w:szCs w:val="17"/>
          <w:lang w:val="en-US"/>
        </w:rPr>
        <w:t xml:space="preserve"> </w:t>
      </w:r>
      <w:proofErr w:type="spellStart"/>
      <w:r w:rsidR="00D416F7">
        <w:rPr>
          <w:rFonts w:asciiTheme="minorHAnsi" w:hAnsiTheme="minorHAnsi" w:cstheme="minorHAnsi"/>
          <w:color w:val="000000"/>
          <w:sz w:val="17"/>
          <w:szCs w:val="17"/>
          <w:lang w:val="en-US"/>
        </w:rPr>
        <w:t>Lin</w:t>
      </w:r>
      <w:r w:rsidR="004A6C66">
        <w:rPr>
          <w:rFonts w:asciiTheme="minorHAnsi" w:hAnsiTheme="minorHAnsi" w:cstheme="minorHAnsi"/>
          <w:color w:val="000000"/>
          <w:sz w:val="17"/>
          <w:szCs w:val="17"/>
          <w:lang w:val="en-US"/>
        </w:rPr>
        <w:t>dstein</w:t>
      </w:r>
      <w:proofErr w:type="spellEnd"/>
      <w:r w:rsidRPr="00B336F0">
        <w:rPr>
          <w:rFonts w:asciiTheme="minorHAnsi" w:hAnsiTheme="minorHAnsi" w:cstheme="minorHAnsi"/>
          <w:color w:val="000000"/>
          <w:sz w:val="17"/>
          <w:szCs w:val="17"/>
          <w:lang w:val="en-US"/>
        </w:rPr>
        <w:t>, Cecilia</w:t>
      </w:r>
      <w:r w:rsidR="004A6C66">
        <w:rPr>
          <w:rFonts w:asciiTheme="minorHAnsi" w:hAnsiTheme="minorHAnsi" w:cstheme="minorHAnsi"/>
          <w:color w:val="000000"/>
          <w:sz w:val="17"/>
          <w:szCs w:val="17"/>
          <w:lang w:val="en-US"/>
        </w:rPr>
        <w:t xml:space="preserve"> Johansson P07</w:t>
      </w:r>
    </w:p>
    <w:p w14:paraId="1C60ADCF" w14:textId="3A050E73" w:rsidR="00535144" w:rsidRPr="00D416F7" w:rsidRDefault="004A6C66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Joacim Bengtsson</w:t>
      </w:r>
      <w:r w:rsidR="00535144"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 F10/11,</w:t>
      </w:r>
    </w:p>
    <w:p w14:paraId="479FF94E" w14:textId="3ED6396F" w:rsidR="00535144" w:rsidRPr="00D416F7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Maria </w:t>
      </w:r>
      <w:r w:rsidR="00D416F7" w:rsidRPr="00D416F7">
        <w:rPr>
          <w:rFonts w:asciiTheme="minorHAnsi" w:hAnsiTheme="minorHAnsi" w:cstheme="minorHAnsi"/>
          <w:color w:val="000000"/>
          <w:sz w:val="17"/>
          <w:szCs w:val="17"/>
        </w:rPr>
        <w:t>Nyberg</w:t>
      </w:r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 &amp; Håkan Tall</w:t>
      </w:r>
      <w:r w:rsidR="00D416F7"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Pr="00D416F7">
        <w:rPr>
          <w:rFonts w:asciiTheme="minorHAnsi" w:hAnsiTheme="minorHAnsi" w:cstheme="minorHAnsi"/>
          <w:color w:val="000000"/>
          <w:sz w:val="17"/>
          <w:szCs w:val="17"/>
        </w:rPr>
        <w:t>P06,</w:t>
      </w:r>
    </w:p>
    <w:p w14:paraId="36B0642E" w14:textId="61DFC6BD" w:rsidR="00535144" w:rsidRPr="004A6C66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4A6C66">
        <w:rPr>
          <w:rFonts w:asciiTheme="minorHAnsi" w:hAnsiTheme="minorHAnsi" w:cstheme="minorHAnsi"/>
          <w:color w:val="000000"/>
          <w:sz w:val="17"/>
          <w:szCs w:val="17"/>
        </w:rPr>
        <w:t xml:space="preserve">Andreas </w:t>
      </w:r>
      <w:r w:rsidR="00B336F0" w:rsidRPr="004A6C66">
        <w:rPr>
          <w:rFonts w:asciiTheme="minorHAnsi" w:hAnsiTheme="minorHAnsi" w:cstheme="minorHAnsi"/>
          <w:color w:val="000000"/>
          <w:sz w:val="17"/>
          <w:szCs w:val="17"/>
        </w:rPr>
        <w:t xml:space="preserve">Nilsson </w:t>
      </w:r>
      <w:r w:rsidRPr="004A6C66">
        <w:rPr>
          <w:rFonts w:asciiTheme="minorHAnsi" w:hAnsiTheme="minorHAnsi" w:cstheme="minorHAnsi"/>
          <w:color w:val="000000"/>
          <w:sz w:val="17"/>
          <w:szCs w:val="17"/>
        </w:rPr>
        <w:t>P08,</w:t>
      </w:r>
    </w:p>
    <w:p w14:paraId="096CF50E" w14:textId="0C585005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Ricardo </w:t>
      </w:r>
      <w:proofErr w:type="spellStart"/>
      <w:r w:rsidRPr="00B336F0">
        <w:rPr>
          <w:rFonts w:asciiTheme="minorHAnsi" w:hAnsiTheme="minorHAnsi" w:cstheme="minorHAnsi"/>
          <w:color w:val="000000"/>
          <w:sz w:val="17"/>
          <w:szCs w:val="17"/>
        </w:rPr>
        <w:t>Durón</w:t>
      </w:r>
      <w:proofErr w:type="spellEnd"/>
      <w:r w:rsidRPr="00B336F0">
        <w:rPr>
          <w:rFonts w:asciiTheme="minorHAnsi" w:hAnsiTheme="minorHAnsi" w:cstheme="minorHAnsi"/>
          <w:color w:val="000000"/>
          <w:sz w:val="17"/>
          <w:szCs w:val="17"/>
        </w:rPr>
        <w:t>, Ansvarig för föräldrasektionen</w:t>
      </w: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7913641D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2019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/Teams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521603A2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Datum            Agendafokus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  <w:t xml:space="preserve">         Protokollansvarig och påminnelseutskick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3266"/>
      </w:tblGrid>
      <w:tr w:rsidR="00535144" w:rsidRPr="00B336F0" w14:paraId="4F505952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63764" w14:textId="1613301E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25-apr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7D37D" w14:textId="27388AAA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Uppstart samt sätta </w:t>
            </w:r>
            <w:proofErr w:type="gramStart"/>
            <w:r w:rsidRPr="00535144">
              <w:rPr>
                <w:rFonts w:cstheme="minorHAnsi"/>
                <w:color w:val="000000"/>
                <w:sz w:val="20"/>
                <w:szCs w:val="20"/>
              </w:rPr>
              <w:t>datum året</w:t>
            </w:r>
            <w:proofErr w:type="gram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94C48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  <w:tr w:rsidR="00535144" w:rsidRPr="00B336F0" w14:paraId="55A0D1CE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F7FAC" w14:textId="2EEA88FD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0-ma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47088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Information H2 2021</w:t>
            </w:r>
          </w:p>
          <w:p w14:paraId="2E51BE01" w14:textId="25C3BE0B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096FE" w14:textId="5EAED883" w:rsidR="00535144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F06/07 (</w:t>
            </w:r>
            <w:r w:rsidR="00B336F0">
              <w:rPr>
                <w:rFonts w:cstheme="minorHAnsi"/>
                <w:color w:val="000000"/>
                <w:sz w:val="20"/>
                <w:szCs w:val="20"/>
              </w:rPr>
              <w:t xml:space="preserve">Protokollansvarig 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om mötet blir av)</w:t>
            </w:r>
          </w:p>
          <w:p w14:paraId="10F30202" w14:textId="7358A763" w:rsidR="00B336F0" w:rsidRPr="00B336F0" w:rsidRDefault="00B336F0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Ricardo skickar ut påminnelse och mötesinbjudan.</w:t>
            </w:r>
          </w:p>
        </w:tc>
      </w:tr>
      <w:tr w:rsidR="00535144" w:rsidRPr="00B336F0" w14:paraId="5239EEFD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8B9D2" w14:textId="7E35E64F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29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-aug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D8B1A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 xml:space="preserve">Uppstart höst, Allmänna förbättringar, </w:t>
            </w:r>
            <w:proofErr w:type="spellStart"/>
            <w:r w:rsidRPr="00B336F0">
              <w:rPr>
                <w:rFonts w:cstheme="minorHAnsi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E27CF" w14:textId="7AEE3EA2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P0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</w:tr>
      <w:tr w:rsidR="00535144" w:rsidRPr="00B336F0" w14:paraId="7930D2BA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241FF" w14:textId="219CD248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-sep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50E02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Fotbollsavslutning Status</w:t>
            </w:r>
          </w:p>
          <w:p w14:paraId="6CFA7E32" w14:textId="495D6092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F068E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P08 (om mötet blir av)</w:t>
            </w:r>
          </w:p>
          <w:p w14:paraId="60C82498" w14:textId="10D3227E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35144" w:rsidRPr="00B336F0" w14:paraId="58AB22D9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11EE8" w14:textId="4D4BAB23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-okt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0CB88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Julmarknad uppstart, status annonser</w:t>
            </w:r>
          </w:p>
          <w:p w14:paraId="68DB9580" w14:textId="0D2A3511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34CEE" w14:textId="077500D6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08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/09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 (om mötet blir av)</w:t>
            </w:r>
          </w:p>
        </w:tc>
      </w:tr>
      <w:tr w:rsidR="00535144" w:rsidRPr="00B336F0" w14:paraId="2785431C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4B740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FD384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Status Julmarknad, annonser</w:t>
            </w:r>
          </w:p>
          <w:p w14:paraId="4BE238AF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Föräldrarepresentanter 2022</w:t>
            </w:r>
          </w:p>
          <w:p w14:paraId="0AD6D29E" w14:textId="02663C0F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AABFF" w14:textId="051D195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P08 (om mötet blir av)</w:t>
            </w:r>
          </w:p>
        </w:tc>
      </w:tr>
      <w:tr w:rsidR="00535144" w:rsidRPr="00B336F0" w14:paraId="6252E22D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C4B2F" w14:textId="1962DAF5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eb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/mar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D24E3" w14:textId="5394B130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Uppstart 202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, sätta datum 202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, kiosk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CF7FF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</w:tbl>
    <w:p w14:paraId="14FBECF3" w14:textId="1FBDF122" w:rsidR="00535144" w:rsidRDefault="00535144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2917DFCE" w14:textId="27C271D5" w:rsidR="00535144" w:rsidRPr="00B336F0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iCs/>
          <w:color w:val="000000"/>
          <w:sz w:val="17"/>
          <w:szCs w:val="17"/>
        </w:rPr>
        <w:t>Välkomna till 2021!</w:t>
      </w:r>
    </w:p>
    <w:p w14:paraId="7030AD91" w14:textId="2DC68030" w:rsidR="00535144" w:rsidRPr="00535144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iCs/>
          <w:color w:val="000000"/>
          <w:sz w:val="17"/>
          <w:szCs w:val="17"/>
        </w:rPr>
        <w:t xml:space="preserve">Vad </w:t>
      </w:r>
      <w:r w:rsidRPr="00535144">
        <w:rPr>
          <w:rFonts w:asciiTheme="minorHAnsi" w:hAnsiTheme="minorHAnsi" w:cstheme="minorHAnsi"/>
          <w:iCs/>
          <w:color w:val="000000"/>
          <w:sz w:val="17"/>
          <w:szCs w:val="17"/>
        </w:rPr>
        <w:t>gör föräldrasektionen / en föräldrarepresentant?</w:t>
      </w:r>
    </w:p>
    <w:p w14:paraId="44400783" w14:textId="77777777" w:rsidR="00535144" w:rsidRPr="00535144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535144">
        <w:rPr>
          <w:rFonts w:asciiTheme="minorHAnsi" w:hAnsiTheme="minorHAnsi" w:cstheme="minorHAnsi"/>
          <w:iCs/>
          <w:color w:val="000000"/>
          <w:sz w:val="17"/>
          <w:szCs w:val="17"/>
        </w:rPr>
        <w:t>Aktiviteter, vilket lag ansvarar för vad under året?</w:t>
      </w:r>
    </w:p>
    <w:p w14:paraId="3AC243D0" w14:textId="0DA7AF2A" w:rsidR="00535144" w:rsidRPr="00B336F0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535144">
        <w:rPr>
          <w:rFonts w:asciiTheme="minorHAnsi" w:hAnsiTheme="minorHAnsi" w:cstheme="minorHAnsi"/>
          <w:iCs/>
          <w:color w:val="000000"/>
          <w:sz w:val="17"/>
          <w:szCs w:val="17"/>
        </w:rPr>
        <w:t>Mötestider under året</w:t>
      </w:r>
    </w:p>
    <w:p w14:paraId="74F7867E" w14:textId="6DEF1D2E" w:rsidR="00535144" w:rsidRPr="00B336F0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535144">
        <w:rPr>
          <w:rFonts w:asciiTheme="minorHAnsi" w:hAnsiTheme="minorHAnsi" w:cstheme="minorHAnsi"/>
          <w:iCs/>
          <w:color w:val="000000"/>
          <w:sz w:val="17"/>
          <w:szCs w:val="17"/>
        </w:rPr>
        <w:t>Corona Uppdatering</w:t>
      </w:r>
    </w:p>
    <w:p w14:paraId="54D86A6F" w14:textId="2D19E5B5" w:rsidR="00535144" w:rsidRPr="00B336F0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proofErr w:type="spellStart"/>
      <w:r w:rsidRPr="00B336F0">
        <w:rPr>
          <w:rFonts w:asciiTheme="minorHAnsi" w:hAnsiTheme="minorHAnsi" w:cstheme="minorHAnsi"/>
          <w:iCs/>
          <w:color w:val="000000"/>
          <w:sz w:val="17"/>
          <w:szCs w:val="17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77B87192" w14:textId="68923BC8" w:rsidR="00B15DC6" w:rsidRPr="00B336F0" w:rsidRDefault="00535144">
      <w:pPr>
        <w:rPr>
          <w:sz w:val="20"/>
          <w:szCs w:val="20"/>
        </w:rPr>
      </w:pPr>
      <w:r w:rsidRPr="00B336F0">
        <w:rPr>
          <w:sz w:val="20"/>
          <w:szCs w:val="20"/>
        </w:rPr>
        <w:t>Detta är fösta mötet för 2021, där förväntningar på föräldrarepresentant</w:t>
      </w:r>
      <w:r w:rsidR="00B336F0" w:rsidRPr="00B336F0">
        <w:rPr>
          <w:sz w:val="20"/>
          <w:szCs w:val="20"/>
        </w:rPr>
        <w:t>er</w:t>
      </w:r>
      <w:r w:rsidRPr="00B336F0">
        <w:rPr>
          <w:sz w:val="20"/>
          <w:szCs w:val="20"/>
        </w:rPr>
        <w:t xml:space="preserve"> och föräldrasektionen</w:t>
      </w:r>
      <w:r w:rsidR="00B336F0">
        <w:rPr>
          <w:sz w:val="20"/>
          <w:szCs w:val="20"/>
        </w:rPr>
        <w:t xml:space="preserve"> beskrevs</w:t>
      </w:r>
      <w:r w:rsidRPr="00B336F0">
        <w:rPr>
          <w:sz w:val="20"/>
          <w:szCs w:val="20"/>
        </w:rPr>
        <w:t>.</w:t>
      </w:r>
      <w:r w:rsidR="00B336F0">
        <w:rPr>
          <w:sz w:val="20"/>
          <w:szCs w:val="20"/>
        </w:rPr>
        <w:t xml:space="preserve"> Inga större frågor lyftes.</w:t>
      </w:r>
      <w:r w:rsidRPr="00B336F0">
        <w:rPr>
          <w:sz w:val="20"/>
          <w:szCs w:val="20"/>
        </w:rPr>
        <w:t xml:space="preserve"> Mötet g</w:t>
      </w:r>
      <w:r w:rsidR="00B336F0" w:rsidRPr="00B336F0">
        <w:rPr>
          <w:sz w:val="20"/>
          <w:szCs w:val="20"/>
        </w:rPr>
        <w:t>ick</w:t>
      </w:r>
      <w:r w:rsidRPr="00B336F0">
        <w:rPr>
          <w:sz w:val="20"/>
          <w:szCs w:val="20"/>
        </w:rPr>
        <w:t xml:space="preserve"> också ut på att sätta datumen för kommande möten och beskriva de ansvarsområden som varje lag har.</w:t>
      </w:r>
    </w:p>
    <w:p w14:paraId="2B0F29AD" w14:textId="7FBEA936" w:rsidR="00495A96" w:rsidRPr="00B336F0" w:rsidRDefault="00495A96">
      <w:pPr>
        <w:rPr>
          <w:sz w:val="20"/>
          <w:szCs w:val="20"/>
        </w:rPr>
      </w:pPr>
    </w:p>
    <w:p w14:paraId="506E74E0" w14:textId="77D1290B" w:rsidR="00495A96" w:rsidRPr="00B336F0" w:rsidRDefault="00B336F0">
      <w:pPr>
        <w:rPr>
          <w:sz w:val="20"/>
          <w:szCs w:val="20"/>
        </w:rPr>
      </w:pPr>
      <w:r w:rsidRPr="00B336F0">
        <w:rPr>
          <w:sz w:val="20"/>
          <w:szCs w:val="20"/>
        </w:rPr>
        <w:t>Ricardo kommer att skicka ut inbjudningar till nästa möte den 30:e Maj, eller skicka ut informations email beroende på rådande restriktioner.</w:t>
      </w: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19D00802" w:rsidR="00495A96" w:rsidRPr="00B336F0" w:rsidRDefault="00B336F0">
      <w:pPr>
        <w:rPr>
          <w:sz w:val="20"/>
          <w:szCs w:val="20"/>
        </w:rPr>
      </w:pPr>
      <w:r w:rsidRPr="00B336F0">
        <w:rPr>
          <w:sz w:val="20"/>
          <w:szCs w:val="20"/>
        </w:rPr>
        <w:t xml:space="preserve">Ricardo </w:t>
      </w:r>
      <w:proofErr w:type="spellStart"/>
      <w:r w:rsidRPr="00B336F0">
        <w:rPr>
          <w:sz w:val="20"/>
          <w:szCs w:val="20"/>
        </w:rPr>
        <w:t>Durón</w:t>
      </w:r>
      <w:proofErr w:type="spellEnd"/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19050A"/>
    <w:rsid w:val="003C6C32"/>
    <w:rsid w:val="00495A96"/>
    <w:rsid w:val="004A6C66"/>
    <w:rsid w:val="00535144"/>
    <w:rsid w:val="006D0BCB"/>
    <w:rsid w:val="007D5ACB"/>
    <w:rsid w:val="00B15DC6"/>
    <w:rsid w:val="00B336F0"/>
    <w:rsid w:val="00BE0146"/>
    <w:rsid w:val="00D35865"/>
    <w:rsid w:val="00D416F7"/>
    <w:rsid w:val="00D74080"/>
    <w:rsid w:val="00E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3</cp:revision>
  <dcterms:created xsi:type="dcterms:W3CDTF">2021-04-25T17:25:00Z</dcterms:created>
  <dcterms:modified xsi:type="dcterms:W3CDTF">2021-04-25T18:02:00Z</dcterms:modified>
</cp:coreProperties>
</file>