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"/>
      </w:tblPr>
      <w:tblGrid>
        <w:gridCol w:w="48"/>
        <w:gridCol w:w="3394"/>
        <w:gridCol w:w="30"/>
        <w:gridCol w:w="563"/>
        <w:gridCol w:w="563"/>
        <w:gridCol w:w="397"/>
        <w:gridCol w:w="563"/>
        <w:gridCol w:w="2032"/>
        <w:gridCol w:w="997"/>
        <w:gridCol w:w="575"/>
      </w:tblGrid>
      <w:tr w:rsidR="00C64D04" w:rsidTr="008A7C1F">
        <w:trPr>
          <w:gridAfter w:val="8"/>
          <w:wAfter w:w="8991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64D04" w:rsidRDefault="00C64D04">
            <w:pPr>
              <w:jc w:val="center"/>
              <w:rPr>
                <w:b/>
                <w:bCs/>
              </w:rPr>
            </w:pPr>
          </w:p>
        </w:tc>
      </w:tr>
      <w:tr w:rsidR="008A7C1F" w:rsidTr="008A7C1F">
        <w:trPr>
          <w:gridAfter w:val="8"/>
          <w:wAfter w:w="8991" w:type="dxa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A7C1F" w:rsidRPr="008A7C1F" w:rsidRDefault="008A7C1F" w:rsidP="008A7C1F">
            <w:pPr>
              <w:jc w:val="center"/>
              <w:rPr>
                <w:b/>
                <w:bCs/>
              </w:rPr>
            </w:pPr>
          </w:p>
        </w:tc>
      </w:tr>
      <w:tr w:rsidR="008A7C1F" w:rsidTr="008A7C1F">
        <w:trPr>
          <w:gridAfter w:val="8"/>
          <w:wAfter w:w="8991" w:type="dxa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A7C1F" w:rsidRDefault="008A7C1F" w:rsidP="008A7C1F">
            <w:pPr>
              <w:rPr>
                <w:b/>
                <w:bCs/>
              </w:rPr>
            </w:pP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Lag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 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 V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 w:rsidP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  F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      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  P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Znax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282 - 147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35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Spiken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282 - 157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34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Björnåsen F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252 - 184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29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La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Visite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219 - 194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26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Wabo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BK F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219 - 216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26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Select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237 - 198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23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Team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Players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225 - 212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Gamsen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214 - 221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21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IS Göta F2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203 - 236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18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Strike F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171 - 265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13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BK </w:t>
            </w:r>
            <w:proofErr w:type="spell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Luntertun</w:t>
            </w:r>
            <w:proofErr w:type="spell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144 - 295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9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Ystads BS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153 - 276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rFonts w:ascii="Verdana" w:hAnsi="Verdana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CECEC"/>
            <w:noWrap/>
            <w:vAlign w:val="bottom"/>
            <w:hideMark/>
          </w:tcPr>
          <w:p w:rsidR="008A7C1F" w:rsidRDefault="008A7C1F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8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Spelade matcher, 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Vunna matcher, 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Oavgjorda matcher, 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Förlorade matcher,</w:t>
            </w:r>
          </w:p>
        </w:tc>
      </w:tr>
      <w:tr w:rsidR="008A7C1F" w:rsidTr="008A7C1F">
        <w:tblPrEx>
          <w:jc w:val="left"/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trHeight w:val="288"/>
        </w:trPr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1F" w:rsidRDefault="008A7C1F" w:rsidP="008A7C1F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Total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Differens, 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Poäng 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* och Kursiv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= Rangordnad enl. Blå Bokens regler.</w:t>
            </w:r>
          </w:p>
        </w:tc>
      </w:tr>
    </w:tbl>
    <w:p w:rsidR="00AE0250" w:rsidRDefault="00AE0250"/>
    <w:p w:rsidR="00221911" w:rsidRDefault="00221911">
      <w:r>
        <w:t xml:space="preserve">Den oavgjorda matchen var mot BK </w:t>
      </w:r>
      <w:proofErr w:type="spellStart"/>
      <w:r>
        <w:t>Select</w:t>
      </w:r>
      <w:proofErr w:type="spellEnd"/>
      <w:r>
        <w:t xml:space="preserve"> borta (Ängelholm) efter</w:t>
      </w:r>
    </w:p>
    <w:p w:rsidR="00221911" w:rsidRDefault="00221911" w:rsidP="00221911">
      <w:r>
        <w:t xml:space="preserve">1-4 (1349-1372), 3-2 (1419-1400), 4-1 (1485-1400) och 2-3 (1443-1480) med </w:t>
      </w:r>
      <w:proofErr w:type="spellStart"/>
      <w:r>
        <w:t>Selects</w:t>
      </w:r>
      <w:proofErr w:type="spellEnd"/>
      <w:r>
        <w:t xml:space="preserve"> siffor först. Totalt alltså 10-10 (5696-5652).</w:t>
      </w:r>
    </w:p>
    <w:p w:rsidR="00221911" w:rsidRDefault="00221911" w:rsidP="00221911"/>
    <w:p w:rsidR="00221911" w:rsidRDefault="00221911" w:rsidP="00221911">
      <w:r>
        <w:t xml:space="preserve">Förlusterna var mot IS Göta F2 borta (8-12), BK Spiken borta (4-16), </w:t>
      </w:r>
      <w:r>
        <w:br/>
        <w:t xml:space="preserve">BK Björnåsen borta (5-15) och BK </w:t>
      </w:r>
      <w:proofErr w:type="spellStart"/>
      <w:r>
        <w:t>Wabo</w:t>
      </w:r>
      <w:proofErr w:type="spellEnd"/>
      <w:r>
        <w:t xml:space="preserve"> F borta (8-12).</w:t>
      </w:r>
    </w:p>
    <w:p w:rsidR="00221911" w:rsidRDefault="00221911" w:rsidP="00221911"/>
    <w:p w:rsidR="00221911" w:rsidRDefault="00221911" w:rsidP="00221911">
      <w:r>
        <w:t xml:space="preserve">Under vårsäsongen tappade vi en enda poäng (mot BK </w:t>
      </w:r>
      <w:proofErr w:type="spellStart"/>
      <w:r>
        <w:t>Select</w:t>
      </w:r>
      <w:proofErr w:type="spellEnd"/>
      <w:r>
        <w:t xml:space="preserve">). Alla hemmamatcher båda säsongerna </w:t>
      </w:r>
      <w:proofErr w:type="gramStart"/>
      <w:r>
        <w:t>vanns !</w:t>
      </w:r>
      <w:proofErr w:type="gramEnd"/>
      <w:r>
        <w:t xml:space="preserve">!! </w:t>
      </w:r>
      <w:r w:rsidR="006070DF">
        <w:t xml:space="preserve">BK </w:t>
      </w:r>
      <w:r>
        <w:t xml:space="preserve">La </w:t>
      </w:r>
      <w:proofErr w:type="spellStart"/>
      <w:r>
        <w:t>Visite</w:t>
      </w:r>
      <w:proofErr w:type="spellEnd"/>
      <w:r>
        <w:t xml:space="preserve"> </w:t>
      </w:r>
      <w:r w:rsidR="006070DF">
        <w:t xml:space="preserve">F </w:t>
      </w:r>
      <w:bookmarkStart w:id="0" w:name="_GoBack"/>
      <w:bookmarkEnd w:id="0"/>
      <w:r>
        <w:t>skickade halva sitt A-lag mot oss i hemma-matchen mot dem så den vann vi efter protest med 10-0.</w:t>
      </w:r>
    </w:p>
    <w:p w:rsidR="00221911" w:rsidRDefault="00221911">
      <w:r>
        <w:t xml:space="preserve"> </w:t>
      </w:r>
    </w:p>
    <w:sectPr w:rsidR="002219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23" w:rsidRDefault="00231223" w:rsidP="00C64D04">
      <w:r>
        <w:separator/>
      </w:r>
    </w:p>
  </w:endnote>
  <w:endnote w:type="continuationSeparator" w:id="0">
    <w:p w:rsidR="00231223" w:rsidRDefault="00231223" w:rsidP="00C6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23" w:rsidRDefault="00231223" w:rsidP="00C64D04">
      <w:r>
        <w:separator/>
      </w:r>
    </w:p>
  </w:footnote>
  <w:footnote w:type="continuationSeparator" w:id="0">
    <w:p w:rsidR="00231223" w:rsidRDefault="00231223" w:rsidP="00C6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23" w:rsidRPr="00C64D04" w:rsidRDefault="00231223" w:rsidP="00C64D04">
    <w:pPr>
      <w:pStyle w:val="Sidhuvud"/>
      <w:jc w:val="center"/>
      <w:rPr>
        <w:sz w:val="32"/>
        <w:szCs w:val="32"/>
      </w:rPr>
    </w:pPr>
    <w:r w:rsidRPr="00C64D04">
      <w:rPr>
        <w:sz w:val="32"/>
        <w:szCs w:val="32"/>
      </w:rPr>
      <w:t>Slutresultat Skåneligan Division 2 säsongen 2011-2012: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04"/>
    <w:rsid w:val="00221911"/>
    <w:rsid w:val="00231223"/>
    <w:rsid w:val="006070DF"/>
    <w:rsid w:val="008A7C1F"/>
    <w:rsid w:val="00AE0250"/>
    <w:rsid w:val="00C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4D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64D0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64D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64D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4D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64D0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64D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64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6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713A-B760-4578-ABBD-DB81F55C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Nilsson, Stig</dc:creator>
  <cp:lastModifiedBy>Nilsson, Stig</cp:lastModifiedBy>
  <cp:revision>3</cp:revision>
  <dcterms:created xsi:type="dcterms:W3CDTF">2012-05-04T14:08:00Z</dcterms:created>
  <dcterms:modified xsi:type="dcterms:W3CDTF">2012-05-04T14:43:00Z</dcterms:modified>
</cp:coreProperties>
</file>