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2D93" w:rsidRPr="00972D93" w:rsidRDefault="00972D93" w:rsidP="00972D93">
      <w:pPr>
        <w:shd w:val="clear" w:color="auto" w:fill="FFFFFF"/>
        <w:spacing w:after="510"/>
        <w:outlineLvl w:val="0"/>
        <w:rPr>
          <w:rFonts w:ascii="Arial" w:eastAsia="Times New Roman" w:hAnsi="Arial" w:cs="Arial"/>
          <w:b/>
          <w:bCs/>
          <w:color w:val="1F1F1F"/>
          <w:kern w:val="36"/>
          <w:sz w:val="60"/>
          <w:szCs w:val="60"/>
          <w:lang w:val="sv-SE" w:eastAsia="sv-SE"/>
        </w:rPr>
      </w:pPr>
      <w:r w:rsidRPr="00972D93">
        <w:rPr>
          <w:rFonts w:ascii="Arial" w:eastAsia="Times New Roman" w:hAnsi="Arial" w:cs="Arial"/>
          <w:b/>
          <w:bCs/>
          <w:color w:val="1F1F1F"/>
          <w:kern w:val="36"/>
          <w:sz w:val="60"/>
          <w:szCs w:val="60"/>
          <w:lang w:val="sv-SE" w:eastAsia="sv-SE"/>
        </w:rPr>
        <w:t>Planens indelning</w:t>
      </w:r>
    </w:p>
    <w:p w:rsidR="00972D93" w:rsidRPr="00972D93" w:rsidRDefault="00972D93" w:rsidP="00972D93">
      <w:pPr>
        <w:shd w:val="clear" w:color="auto" w:fill="FFFFFF"/>
        <w:spacing w:after="450"/>
        <w:rPr>
          <w:rFonts w:ascii="Arial" w:eastAsia="Times New Roman" w:hAnsi="Arial" w:cs="Arial"/>
          <w:b/>
          <w:bCs/>
          <w:color w:val="1F1F1F"/>
          <w:sz w:val="24"/>
          <w:szCs w:val="24"/>
          <w:lang w:val="sv-SE" w:eastAsia="sv-SE"/>
        </w:rPr>
      </w:pPr>
      <w:r w:rsidRPr="00972D93">
        <w:rPr>
          <w:rFonts w:ascii="Arial" w:eastAsia="Times New Roman" w:hAnsi="Arial" w:cs="Arial"/>
          <w:b/>
          <w:bCs/>
          <w:color w:val="1F1F1F"/>
          <w:sz w:val="24"/>
          <w:szCs w:val="24"/>
          <w:lang w:val="sv-SE" w:eastAsia="sv-SE"/>
        </w:rPr>
        <w:t>I spelformen 11 mot 11 är spelplanens linjer kompletta, inklusive målområde, vilket gör det lätt att identifiera planens korridorer. Därför är det lämpligt att introducera korridorerna i denna spelform. Sedan tidigare är planens tredjedelar och spelytor introducerade.</w:t>
      </w:r>
    </w:p>
    <w:p w:rsidR="004E5739" w:rsidRDefault="003A2883" w:rsidP="005A2544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3521710</wp:posOffset>
                </wp:positionH>
                <wp:positionV relativeFrom="paragraph">
                  <wp:posOffset>7620</wp:posOffset>
                </wp:positionV>
                <wp:extent cx="2406400" cy="4229100"/>
                <wp:effectExtent l="0" t="0" r="13335" b="19050"/>
                <wp:wrapSquare wrapText="bothSides"/>
                <wp:docPr id="212" name="Figu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6400" cy="42291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5875"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1002">
                          <a:schemeClr val="lt2"/>
                        </a:fillRef>
                        <a:effectRef idx="0">
                          <a:scrgbClr r="0" g="0" b="0"/>
                        </a:effectRef>
                        <a:fontRef idx="major"/>
                      </wps:style>
                      <wps:txbx>
                        <w:txbxContent>
                          <w:p w:rsidR="00F91643" w:rsidRPr="00735F7A" w:rsidRDefault="00F91643" w:rsidP="00F91643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lang w:val="sv-SE"/>
                              </w:rPr>
                            </w:pPr>
                            <w:r w:rsidRPr="00735F7A">
                              <w:rPr>
                                <w:b/>
                                <w:bCs/>
                                <w:sz w:val="24"/>
                                <w:szCs w:val="24"/>
                                <w:lang w:val="sv-SE"/>
                              </w:rPr>
                              <w:t xml:space="preserve">Spelytor i </w:t>
                            </w:r>
                            <w:r w:rsidR="00735F7A" w:rsidRPr="00735F7A">
                              <w:rPr>
                                <w:b/>
                                <w:bCs/>
                                <w:sz w:val="24"/>
                                <w:szCs w:val="24"/>
                                <w:lang w:val="sv-SE"/>
                              </w:rPr>
                              <w:t>anfallsspelet</w:t>
                            </w:r>
                          </w:p>
                          <w:p w:rsidR="00F91643" w:rsidRPr="00735F7A" w:rsidRDefault="00F91643" w:rsidP="00F91643">
                            <w:pPr>
                              <w:rPr>
                                <w:b/>
                                <w:bCs/>
                                <w:color w:val="887F6E" w:themeColor="text2"/>
                                <w:lang w:val="sv-SE"/>
                              </w:rPr>
                            </w:pPr>
                          </w:p>
                          <w:p w:rsidR="00F91643" w:rsidRPr="00735F7A" w:rsidRDefault="00F91643" w:rsidP="00F91643">
                            <w:pPr>
                              <w:rPr>
                                <w:lang w:val="sv-SE"/>
                              </w:rPr>
                            </w:pPr>
                            <w:r w:rsidRPr="00735F7A">
                              <w:rPr>
                                <w:lang w:val="sv-SE"/>
                              </w:rPr>
                              <w:t xml:space="preserve">I </w:t>
                            </w:r>
                            <w:r w:rsidR="00735F7A" w:rsidRPr="00735F7A">
                              <w:rPr>
                                <w:lang w:val="sv-SE"/>
                              </w:rPr>
                              <w:t>anfallsspelet</w:t>
                            </w:r>
                            <w:r w:rsidRPr="00735F7A">
                              <w:rPr>
                                <w:lang w:val="sv-SE"/>
                              </w:rPr>
                              <w:t xml:space="preserve"> strävar laget efter att närma sig motståndarnas mål genom att passera deras lagdelar i djupled. Begreppet spe</w:t>
                            </w:r>
                            <w:bookmarkStart w:id="0" w:name="_GoBack"/>
                            <w:bookmarkEnd w:id="0"/>
                            <w:r w:rsidRPr="00735F7A">
                              <w:rPr>
                                <w:lang w:val="sv-SE"/>
                              </w:rPr>
                              <w:t xml:space="preserve">lytor i </w:t>
                            </w:r>
                            <w:r w:rsidR="00735F7A" w:rsidRPr="00735F7A">
                              <w:rPr>
                                <w:lang w:val="sv-SE"/>
                              </w:rPr>
                              <w:t>anfallsspelet</w:t>
                            </w:r>
                            <w:r w:rsidRPr="00735F7A">
                              <w:rPr>
                                <w:lang w:val="sv-SE"/>
                              </w:rPr>
                              <w:t xml:space="preserve"> betyder att det finns en spelyta både framför och bakom motståndarnas </w:t>
                            </w:r>
                            <w:r w:rsidR="00735F7A" w:rsidRPr="00735F7A">
                              <w:rPr>
                                <w:lang w:val="sv-SE"/>
                              </w:rPr>
                              <w:t>respektive</w:t>
                            </w:r>
                            <w:r w:rsidRPr="00735F7A">
                              <w:rPr>
                                <w:lang w:val="sv-SE"/>
                              </w:rPr>
                              <w:t xml:space="preserve"> lagdelar. Ytan framför och bakom motståndarnas </w:t>
                            </w:r>
                            <w:r w:rsidR="00735F7A" w:rsidRPr="00735F7A">
                              <w:rPr>
                                <w:lang w:val="sv-SE"/>
                              </w:rPr>
                              <w:t>respektive</w:t>
                            </w:r>
                            <w:r w:rsidRPr="00735F7A">
                              <w:rPr>
                                <w:lang w:val="sv-SE"/>
                              </w:rPr>
                              <w:t xml:space="preserve"> lagdelar. Ytan framför motståndarnas forwards kallas för utgångsytan </w:t>
                            </w:r>
                            <w:r w:rsidR="003A2883" w:rsidRPr="00735F7A">
                              <w:rPr>
                                <w:lang w:val="sv-SE"/>
                              </w:rPr>
                              <w:t>och ytan bakom dem kallas för spelyta 1. Bakom mittfältet finns spelyta 2, och den mest attraktiva ytan – bakom motståndarnas backlinje – blir då spelyta 3.</w:t>
                            </w:r>
                          </w:p>
                        </w:txbxContent>
                      </wps:txbx>
                      <wps:bodyPr rot="0" vert="horz" wrap="square" lIns="182880" tIns="457200" rIns="182880" bIns="73152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Figur 14" o:spid="_x0000_s1026" style="position:absolute;margin-left:277.3pt;margin-top:.6pt;width:189.5pt;height:333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" fillcolor="white [3212]" strokecolor="#7d6b4c [1614]" strokeweight="1.25pt">
                <v:textbox inset="14.4pt,36pt,14.4pt,5.76pt">
                  <w:txbxContent>
                    <w:p w:rsidR="00F91643" w:rsidRPr="00735F7A" w:rsidRDefault="00F91643" w:rsidP="00F91643">
                      <w:pPr>
                        <w:rPr>
                          <w:b/>
                          <w:bCs/>
                          <w:sz w:val="24"/>
                          <w:szCs w:val="24"/>
                          <w:lang w:val="sv-SE"/>
                        </w:rPr>
                      </w:pPr>
                      <w:r w:rsidRPr="00735F7A">
                        <w:rPr>
                          <w:b/>
                          <w:bCs/>
                          <w:sz w:val="24"/>
                          <w:szCs w:val="24"/>
                          <w:lang w:val="sv-SE"/>
                        </w:rPr>
                        <w:t xml:space="preserve">Spelytor i </w:t>
                      </w:r>
                      <w:r w:rsidR="00735F7A" w:rsidRPr="00735F7A">
                        <w:rPr>
                          <w:b/>
                          <w:bCs/>
                          <w:sz w:val="24"/>
                          <w:szCs w:val="24"/>
                          <w:lang w:val="sv-SE"/>
                        </w:rPr>
                        <w:t>anfallsspelet</w:t>
                      </w:r>
                    </w:p>
                    <w:p w:rsidR="00F91643" w:rsidRPr="00735F7A" w:rsidRDefault="00F91643" w:rsidP="00F91643">
                      <w:pPr>
                        <w:rPr>
                          <w:b/>
                          <w:bCs/>
                          <w:color w:val="887F6E" w:themeColor="text2"/>
                          <w:lang w:val="sv-SE"/>
                        </w:rPr>
                      </w:pPr>
                    </w:p>
                    <w:p w:rsidR="00F91643" w:rsidRPr="00735F7A" w:rsidRDefault="00F91643" w:rsidP="00F91643">
                      <w:pPr>
                        <w:rPr>
                          <w:lang w:val="sv-SE"/>
                        </w:rPr>
                      </w:pPr>
                      <w:r w:rsidRPr="00735F7A">
                        <w:rPr>
                          <w:lang w:val="sv-SE"/>
                        </w:rPr>
                        <w:t xml:space="preserve">I </w:t>
                      </w:r>
                      <w:r w:rsidR="00735F7A" w:rsidRPr="00735F7A">
                        <w:rPr>
                          <w:lang w:val="sv-SE"/>
                        </w:rPr>
                        <w:t>anfallsspelet</w:t>
                      </w:r>
                      <w:r w:rsidRPr="00735F7A">
                        <w:rPr>
                          <w:lang w:val="sv-SE"/>
                        </w:rPr>
                        <w:t xml:space="preserve"> strävar laget efter att närma sig motståndarnas mål genom att passera deras lagdelar i djupled. Begreppet spe</w:t>
                      </w:r>
                      <w:bookmarkStart w:id="1" w:name="_GoBack"/>
                      <w:bookmarkEnd w:id="1"/>
                      <w:r w:rsidRPr="00735F7A">
                        <w:rPr>
                          <w:lang w:val="sv-SE"/>
                        </w:rPr>
                        <w:t xml:space="preserve">lytor i </w:t>
                      </w:r>
                      <w:r w:rsidR="00735F7A" w:rsidRPr="00735F7A">
                        <w:rPr>
                          <w:lang w:val="sv-SE"/>
                        </w:rPr>
                        <w:t>anfallsspelet</w:t>
                      </w:r>
                      <w:r w:rsidRPr="00735F7A">
                        <w:rPr>
                          <w:lang w:val="sv-SE"/>
                        </w:rPr>
                        <w:t xml:space="preserve"> betyder att det finns en spelyta både framför och bakom motståndarnas </w:t>
                      </w:r>
                      <w:r w:rsidR="00735F7A" w:rsidRPr="00735F7A">
                        <w:rPr>
                          <w:lang w:val="sv-SE"/>
                        </w:rPr>
                        <w:t>respektive</w:t>
                      </w:r>
                      <w:r w:rsidRPr="00735F7A">
                        <w:rPr>
                          <w:lang w:val="sv-SE"/>
                        </w:rPr>
                        <w:t xml:space="preserve"> lagdelar. Ytan framför och bakom motståndarnas </w:t>
                      </w:r>
                      <w:r w:rsidR="00735F7A" w:rsidRPr="00735F7A">
                        <w:rPr>
                          <w:lang w:val="sv-SE"/>
                        </w:rPr>
                        <w:t>respektive</w:t>
                      </w:r>
                      <w:r w:rsidRPr="00735F7A">
                        <w:rPr>
                          <w:lang w:val="sv-SE"/>
                        </w:rPr>
                        <w:t xml:space="preserve"> lagdelar. Ytan framför motståndarnas forwards kallas för utgångsytan </w:t>
                      </w:r>
                      <w:r w:rsidR="003A2883" w:rsidRPr="00735F7A">
                        <w:rPr>
                          <w:lang w:val="sv-SE"/>
                        </w:rPr>
                        <w:t>och ytan bakom dem kallas för spelyta 1. Bakom mittfältet finns spelyta 2, och den mest attraktiva ytan – bakom motståndarnas backlinje – blir då spelyta 3.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972D93" w:rsidRPr="00972D93">
        <w:rPr>
          <w:noProof/>
        </w:rPr>
        <w:drawing>
          <wp:inline distT="0" distB="0" distL="0" distR="0" wp14:anchorId="5EAA0F74" wp14:editId="07F811C7">
            <wp:extent cx="3227044" cy="4222750"/>
            <wp:effectExtent l="0" t="0" r="0" b="635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37091" cy="4235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2D93" w:rsidRPr="00972D93" w:rsidRDefault="00972D93" w:rsidP="00972D93"/>
    <w:p w:rsidR="00972D93" w:rsidRPr="00972D93" w:rsidRDefault="00972D93" w:rsidP="00972D93"/>
    <w:p w:rsidR="00972D93" w:rsidRPr="00972D93" w:rsidRDefault="00972D93" w:rsidP="00972D93"/>
    <w:p w:rsidR="00972D93" w:rsidRDefault="00972D93" w:rsidP="00972D93"/>
    <w:p w:rsidR="00972D93" w:rsidRDefault="00972D93" w:rsidP="00972D93"/>
    <w:p w:rsidR="00972D93" w:rsidRDefault="00972D93" w:rsidP="00972D93"/>
    <w:p w:rsidR="00972D93" w:rsidRDefault="00972D93" w:rsidP="00972D93"/>
    <w:p w:rsidR="00972D93" w:rsidRDefault="00972D93" w:rsidP="00972D93"/>
    <w:p w:rsidR="00972D93" w:rsidRDefault="00972D93" w:rsidP="00972D93"/>
    <w:p w:rsidR="00972D93" w:rsidRDefault="00972D93" w:rsidP="00972D93"/>
    <w:p w:rsidR="00972D93" w:rsidRPr="00972D93" w:rsidRDefault="003A2883" w:rsidP="00972D93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3845560</wp:posOffset>
                </wp:positionH>
                <wp:positionV relativeFrom="paragraph">
                  <wp:posOffset>1429385</wp:posOffset>
                </wp:positionV>
                <wp:extent cx="2475865" cy="5403850"/>
                <wp:effectExtent l="0" t="0" r="19685" b="25400"/>
                <wp:wrapSquare wrapText="bothSides"/>
                <wp:docPr id="11" name="Figu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5865" cy="54038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5875"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1002">
                          <a:schemeClr val="lt2"/>
                        </a:fillRef>
                        <a:effectRef idx="0">
                          <a:scrgbClr r="0" g="0" b="0"/>
                        </a:effectRef>
                        <a:fontRef idx="major"/>
                      </wps:style>
                      <wps:txbx>
                        <w:txbxContent>
                          <w:p w:rsidR="00A64D2C" w:rsidRPr="00735F7A" w:rsidRDefault="00A64D2C" w:rsidP="003A2883">
                            <w:pPr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sv-SE"/>
                              </w:rPr>
                            </w:pPr>
                          </w:p>
                          <w:p w:rsidR="00A64D2C" w:rsidRPr="00735F7A" w:rsidRDefault="00A64D2C" w:rsidP="003A2883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lang w:val="sv-SE"/>
                              </w:rPr>
                            </w:pPr>
                            <w:r w:rsidRPr="00735F7A">
                              <w:rPr>
                                <w:b/>
                                <w:bCs/>
                                <w:sz w:val="24"/>
                                <w:szCs w:val="24"/>
                                <w:lang w:val="sv-SE"/>
                              </w:rPr>
                              <w:t>Korridorer</w:t>
                            </w:r>
                          </w:p>
                          <w:p w:rsidR="00A64D2C" w:rsidRPr="00735F7A" w:rsidRDefault="00A64D2C" w:rsidP="003A2883">
                            <w:pPr>
                              <w:rPr>
                                <w:color w:val="887F6E" w:themeColor="text2"/>
                                <w:lang w:val="sv-SE"/>
                              </w:rPr>
                            </w:pPr>
                          </w:p>
                          <w:p w:rsidR="00A64D2C" w:rsidRPr="00735F7A" w:rsidRDefault="00A64D2C" w:rsidP="003A2883">
                            <w:pPr>
                              <w:rPr>
                                <w:lang w:val="sv-SE"/>
                              </w:rPr>
                            </w:pPr>
                            <w:r w:rsidRPr="00735F7A">
                              <w:rPr>
                                <w:lang w:val="sv-SE"/>
                              </w:rPr>
                              <w:t xml:space="preserve">Planen kan med hjälp av befintliga linjer, sidlinjerna samt straffområdes- och </w:t>
                            </w:r>
                            <w:r w:rsidR="00735F7A" w:rsidRPr="00735F7A">
                              <w:rPr>
                                <w:lang w:val="sv-SE"/>
                              </w:rPr>
                              <w:t>målområdeslinjerna</w:t>
                            </w:r>
                            <w:r w:rsidRPr="00735F7A">
                              <w:rPr>
                                <w:lang w:val="sv-SE"/>
                              </w:rPr>
                              <w:t>, delas in i fem korridorer – två yttre, två inre och en central.</w:t>
                            </w:r>
                          </w:p>
                          <w:p w:rsidR="00A64D2C" w:rsidRPr="00735F7A" w:rsidRDefault="00A64D2C" w:rsidP="003A2883">
                            <w:pPr>
                              <w:rPr>
                                <w:color w:val="887F6E" w:themeColor="text2"/>
                                <w:lang w:val="sv-SE"/>
                              </w:rPr>
                            </w:pPr>
                          </w:p>
                          <w:p w:rsidR="003A2883" w:rsidRPr="00735F7A" w:rsidRDefault="00A64D2C" w:rsidP="003A2883">
                            <w:pPr>
                              <w:rPr>
                                <w:lang w:val="sv-SE"/>
                              </w:rPr>
                            </w:pPr>
                            <w:r w:rsidRPr="00735F7A">
                              <w:rPr>
                                <w:lang w:val="sv-SE"/>
                              </w:rPr>
                              <w:t xml:space="preserve">I speluppbyggnad kan </w:t>
                            </w:r>
                            <w:proofErr w:type="gramStart"/>
                            <w:r w:rsidRPr="00735F7A">
                              <w:rPr>
                                <w:lang w:val="sv-SE"/>
                              </w:rPr>
                              <w:t>t ex</w:t>
                            </w:r>
                            <w:proofErr w:type="gramEnd"/>
                            <w:r w:rsidRPr="00735F7A">
                              <w:rPr>
                                <w:lang w:val="sv-SE"/>
                              </w:rPr>
                              <w:t xml:space="preserve"> spelarna placera sig i samtliga fem korridorer. I försvarsspelet kan laget använda principen att endast försvara i tre </w:t>
                            </w:r>
                            <w:r w:rsidR="00735F7A" w:rsidRPr="00735F7A">
                              <w:rPr>
                                <w:lang w:val="sv-SE"/>
                              </w:rPr>
                              <w:t>korridorer</w:t>
                            </w:r>
                            <w:r w:rsidRPr="00735F7A">
                              <w:rPr>
                                <w:lang w:val="sv-SE"/>
                              </w:rPr>
                              <w:t xml:space="preserve"> som</w:t>
                            </w:r>
                            <w:r w:rsidR="0070717C">
                              <w:rPr>
                                <w:lang w:val="sv-SE"/>
                              </w:rPr>
                              <w:t xml:space="preserve"> </w:t>
                            </w:r>
                            <w:r w:rsidRPr="00735F7A">
                              <w:rPr>
                                <w:lang w:val="sv-SE"/>
                              </w:rPr>
                              <w:t xml:space="preserve">är närmast bollen. </w:t>
                            </w:r>
                            <w:r w:rsidR="003A2883" w:rsidRPr="00735F7A">
                              <w:rPr>
                                <w:lang w:val="sv-S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182880" tIns="457200" rIns="182880" bIns="73152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27" style="position:absolute;margin-left:302.8pt;margin-top:112.55pt;width:194.95pt;height:425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" fillcolor="white [3212]" strokecolor="#7d6b4c [1614]" strokeweight="1.25pt">
                <v:textbox inset="14.4pt,36pt,14.4pt,5.76pt">
                  <w:txbxContent>
                    <w:p w:rsidR="00A64D2C" w:rsidRPr="00735F7A" w:rsidRDefault="00A64D2C" w:rsidP="003A2883">
                      <w:pPr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sv-SE"/>
                        </w:rPr>
                      </w:pPr>
                    </w:p>
                    <w:p w:rsidR="00A64D2C" w:rsidRPr="00735F7A" w:rsidRDefault="00A64D2C" w:rsidP="003A2883">
                      <w:pPr>
                        <w:rPr>
                          <w:b/>
                          <w:bCs/>
                          <w:sz w:val="24"/>
                          <w:szCs w:val="24"/>
                          <w:lang w:val="sv-SE"/>
                        </w:rPr>
                      </w:pPr>
                      <w:r w:rsidRPr="00735F7A">
                        <w:rPr>
                          <w:b/>
                          <w:bCs/>
                          <w:sz w:val="24"/>
                          <w:szCs w:val="24"/>
                          <w:lang w:val="sv-SE"/>
                        </w:rPr>
                        <w:t>Korridorer</w:t>
                      </w:r>
                    </w:p>
                    <w:p w:rsidR="00A64D2C" w:rsidRPr="00735F7A" w:rsidRDefault="00A64D2C" w:rsidP="003A2883">
                      <w:pPr>
                        <w:rPr>
                          <w:color w:val="887F6E" w:themeColor="text2"/>
                          <w:lang w:val="sv-SE"/>
                        </w:rPr>
                      </w:pPr>
                    </w:p>
                    <w:p w:rsidR="00A64D2C" w:rsidRPr="00735F7A" w:rsidRDefault="00A64D2C" w:rsidP="003A2883">
                      <w:pPr>
                        <w:rPr>
                          <w:lang w:val="sv-SE"/>
                        </w:rPr>
                      </w:pPr>
                      <w:r w:rsidRPr="00735F7A">
                        <w:rPr>
                          <w:lang w:val="sv-SE"/>
                        </w:rPr>
                        <w:t xml:space="preserve">Planen kan med hjälp av befintliga linjer, sidlinjerna samt straffområdes- och </w:t>
                      </w:r>
                      <w:r w:rsidR="00735F7A" w:rsidRPr="00735F7A">
                        <w:rPr>
                          <w:lang w:val="sv-SE"/>
                        </w:rPr>
                        <w:t>målområdeslinjerna</w:t>
                      </w:r>
                      <w:r w:rsidRPr="00735F7A">
                        <w:rPr>
                          <w:lang w:val="sv-SE"/>
                        </w:rPr>
                        <w:t>, delas in i fem korridorer – två yttre, två inre och en central.</w:t>
                      </w:r>
                    </w:p>
                    <w:p w:rsidR="00A64D2C" w:rsidRPr="00735F7A" w:rsidRDefault="00A64D2C" w:rsidP="003A2883">
                      <w:pPr>
                        <w:rPr>
                          <w:color w:val="887F6E" w:themeColor="text2"/>
                          <w:lang w:val="sv-SE"/>
                        </w:rPr>
                      </w:pPr>
                    </w:p>
                    <w:p w:rsidR="003A2883" w:rsidRPr="00735F7A" w:rsidRDefault="00A64D2C" w:rsidP="003A2883">
                      <w:pPr>
                        <w:rPr>
                          <w:lang w:val="sv-SE"/>
                        </w:rPr>
                      </w:pPr>
                      <w:r w:rsidRPr="00735F7A">
                        <w:rPr>
                          <w:lang w:val="sv-SE"/>
                        </w:rPr>
                        <w:t xml:space="preserve">I speluppbyggnad kan </w:t>
                      </w:r>
                      <w:proofErr w:type="gramStart"/>
                      <w:r w:rsidRPr="00735F7A">
                        <w:rPr>
                          <w:lang w:val="sv-SE"/>
                        </w:rPr>
                        <w:t>t ex</w:t>
                      </w:r>
                      <w:proofErr w:type="gramEnd"/>
                      <w:r w:rsidRPr="00735F7A">
                        <w:rPr>
                          <w:lang w:val="sv-SE"/>
                        </w:rPr>
                        <w:t xml:space="preserve"> spelarna placera sig i samtliga fem korridorer. I försvarsspelet kan laget använda principen att endast försvara i tre </w:t>
                      </w:r>
                      <w:r w:rsidR="00735F7A" w:rsidRPr="00735F7A">
                        <w:rPr>
                          <w:lang w:val="sv-SE"/>
                        </w:rPr>
                        <w:t>korridorer</w:t>
                      </w:r>
                      <w:r w:rsidRPr="00735F7A">
                        <w:rPr>
                          <w:lang w:val="sv-SE"/>
                        </w:rPr>
                        <w:t xml:space="preserve"> som</w:t>
                      </w:r>
                      <w:r w:rsidR="0070717C">
                        <w:rPr>
                          <w:lang w:val="sv-SE"/>
                        </w:rPr>
                        <w:t xml:space="preserve"> </w:t>
                      </w:r>
                      <w:r w:rsidRPr="00735F7A">
                        <w:rPr>
                          <w:lang w:val="sv-SE"/>
                        </w:rPr>
                        <w:t xml:space="preserve">är närmast bollen. </w:t>
                      </w:r>
                      <w:r w:rsidR="003A2883" w:rsidRPr="00735F7A">
                        <w:rPr>
                          <w:lang w:val="sv-SE"/>
                        </w:rPr>
                        <w:t xml:space="preserve"> 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972D93" w:rsidRPr="00972D93">
        <w:rPr>
          <w:noProof/>
        </w:rPr>
        <w:drawing>
          <wp:anchor distT="0" distB="0" distL="114300" distR="114300" simplePos="0" relativeHeight="251658240" behindDoc="0" locked="0" layoutInCell="1" allowOverlap="1" wp14:anchorId="6071C202">
            <wp:simplePos x="717550" y="2203450"/>
            <wp:positionH relativeFrom="column">
              <wp:align>left</wp:align>
            </wp:positionH>
            <wp:positionV relativeFrom="paragraph">
              <wp:align>top</wp:align>
            </wp:positionV>
            <wp:extent cx="3492798" cy="4603750"/>
            <wp:effectExtent l="0" t="0" r="0" b="6350"/>
            <wp:wrapSquare wrapText="bothSides"/>
            <wp:docPr id="8" name="Bildobjekt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92798" cy="4603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A2883">
        <w:rPr>
          <w:noProof/>
        </w:rPr>
        <w:drawing>
          <wp:inline distT="0" distB="0" distL="0" distR="0" wp14:anchorId="78B4719A" wp14:editId="1DB586C3">
            <wp:extent cx="3478676" cy="2203450"/>
            <wp:effectExtent l="0" t="0" r="7620" b="6350"/>
            <wp:docPr id="9" name="Bildobjekt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505650" cy="2220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2D93" w:rsidRPr="00972D93" w:rsidRDefault="00A64D2C" w:rsidP="00972D93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3864610</wp:posOffset>
                </wp:positionH>
                <wp:positionV relativeFrom="paragraph">
                  <wp:posOffset>0</wp:posOffset>
                </wp:positionV>
                <wp:extent cx="2475865" cy="4260850"/>
                <wp:effectExtent l="0" t="0" r="19685" b="25400"/>
                <wp:wrapSquare wrapText="bothSides"/>
                <wp:docPr id="15" name="Figu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5865" cy="42608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5875"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1002">
                          <a:schemeClr val="lt2"/>
                        </a:fillRef>
                        <a:effectRef idx="0">
                          <a:scrgbClr r="0" g="0" b="0"/>
                        </a:effectRef>
                        <a:fontRef idx="major"/>
                      </wps:style>
                      <wps:txbx>
                        <w:txbxContent>
                          <w:p w:rsidR="00A64D2C" w:rsidRPr="00735F7A" w:rsidRDefault="00A64D2C" w:rsidP="00A64D2C">
                            <w:pPr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lang w:val="sv-SE"/>
                              </w:rPr>
                            </w:pPr>
                            <w:r w:rsidRPr="00735F7A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lang w:val="sv-SE"/>
                              </w:rPr>
                              <w:t>Tredjedelar</w:t>
                            </w:r>
                          </w:p>
                          <w:p w:rsidR="00A64D2C" w:rsidRPr="00735F7A" w:rsidRDefault="00A64D2C" w:rsidP="00A64D2C">
                            <w:pPr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lang w:val="sv-SE"/>
                              </w:rPr>
                            </w:pPr>
                          </w:p>
                          <w:p w:rsidR="00A64D2C" w:rsidRPr="00735F7A" w:rsidRDefault="003E581A" w:rsidP="00A64D2C">
                            <w:pPr>
                              <w:rPr>
                                <w:rFonts w:asciiTheme="majorHAnsi" w:eastAsiaTheme="majorEastAsia" w:hAnsiTheme="majorHAnsi" w:cstheme="majorBidi"/>
                                <w:lang w:val="sv-SE"/>
                              </w:rPr>
                            </w:pPr>
                            <w:r w:rsidRPr="00735F7A">
                              <w:rPr>
                                <w:rFonts w:asciiTheme="majorHAnsi" w:eastAsiaTheme="majorEastAsia" w:hAnsiTheme="majorHAnsi" w:cstheme="majorBidi"/>
                                <w:lang w:val="sv-SE"/>
                              </w:rPr>
                              <w:t xml:space="preserve">Planen kan delas in i tredjedelar: </w:t>
                            </w:r>
                          </w:p>
                          <w:p w:rsidR="003E581A" w:rsidRPr="00735F7A" w:rsidRDefault="003E581A" w:rsidP="00A64D2C">
                            <w:pP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lang w:val="sv-SE"/>
                              </w:rPr>
                            </w:pPr>
                          </w:p>
                          <w:p w:rsidR="003E581A" w:rsidRPr="00735F7A" w:rsidRDefault="003E581A" w:rsidP="00A64D2C">
                            <w:pPr>
                              <w:rPr>
                                <w:rFonts w:asciiTheme="majorHAnsi" w:eastAsiaTheme="majorEastAsia" w:hAnsiTheme="majorHAnsi" w:cstheme="majorBidi"/>
                                <w:lang w:val="sv-SE"/>
                              </w:rPr>
                            </w:pPr>
                            <w:r w:rsidRPr="00735F7A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lang w:val="sv-SE"/>
                              </w:rPr>
                              <w:t xml:space="preserve">Första tredjedelen </w:t>
                            </w:r>
                            <w:r w:rsidRPr="00735F7A">
                              <w:rPr>
                                <w:rFonts w:asciiTheme="majorHAnsi" w:eastAsiaTheme="majorEastAsia" w:hAnsiTheme="majorHAnsi" w:cstheme="majorBidi"/>
                                <w:lang w:val="sv-SE"/>
                              </w:rPr>
                              <w:t>–</w:t>
                            </w:r>
                            <w:r w:rsidRPr="00735F7A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lang w:val="sv-SE"/>
                              </w:rPr>
                              <w:t xml:space="preserve"> </w:t>
                            </w:r>
                            <w:r w:rsidRPr="00735F7A">
                              <w:rPr>
                                <w:rFonts w:asciiTheme="majorHAnsi" w:eastAsiaTheme="majorEastAsia" w:hAnsiTheme="majorHAnsi" w:cstheme="majorBidi"/>
                                <w:lang w:val="sv-SE"/>
                              </w:rPr>
                              <w:t>tredjedelen närmast det anfallande lagets mål.</w:t>
                            </w:r>
                          </w:p>
                          <w:p w:rsidR="003E581A" w:rsidRPr="00735F7A" w:rsidRDefault="003E581A" w:rsidP="00A64D2C">
                            <w:pPr>
                              <w:rPr>
                                <w:rFonts w:asciiTheme="majorHAnsi" w:eastAsiaTheme="majorEastAsia" w:hAnsiTheme="majorHAnsi" w:cstheme="majorBidi"/>
                                <w:lang w:val="sv-SE"/>
                              </w:rPr>
                            </w:pPr>
                          </w:p>
                          <w:p w:rsidR="003E581A" w:rsidRPr="00735F7A" w:rsidRDefault="003E581A" w:rsidP="00A64D2C">
                            <w:pPr>
                              <w:rPr>
                                <w:rFonts w:asciiTheme="majorHAnsi" w:eastAsiaTheme="majorEastAsia" w:hAnsiTheme="majorHAnsi" w:cstheme="majorBidi"/>
                                <w:lang w:val="sv-SE"/>
                              </w:rPr>
                            </w:pPr>
                            <w:r w:rsidRPr="00735F7A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lang w:val="sv-SE"/>
                              </w:rPr>
                              <w:t>Centrala tredjedelen</w:t>
                            </w:r>
                            <w:r w:rsidRPr="00735F7A">
                              <w:rPr>
                                <w:rFonts w:asciiTheme="majorHAnsi" w:eastAsiaTheme="majorEastAsia" w:hAnsiTheme="majorHAnsi" w:cstheme="majorBidi"/>
                                <w:lang w:val="sv-SE"/>
                              </w:rPr>
                              <w:t xml:space="preserve"> – tredjedelen mitt på planen. </w:t>
                            </w:r>
                          </w:p>
                          <w:p w:rsidR="003E581A" w:rsidRPr="00735F7A" w:rsidRDefault="003E581A" w:rsidP="00A64D2C">
                            <w:pPr>
                              <w:rPr>
                                <w:rFonts w:asciiTheme="majorHAnsi" w:eastAsiaTheme="majorEastAsia" w:hAnsiTheme="majorHAnsi" w:cstheme="majorBidi"/>
                                <w:lang w:val="sv-SE"/>
                              </w:rPr>
                            </w:pPr>
                          </w:p>
                          <w:p w:rsidR="003E581A" w:rsidRPr="00735F7A" w:rsidRDefault="003E581A" w:rsidP="00A64D2C">
                            <w:pPr>
                              <w:rPr>
                                <w:rFonts w:asciiTheme="majorHAnsi" w:eastAsiaTheme="majorEastAsia" w:hAnsiTheme="majorHAnsi" w:cstheme="majorBidi"/>
                                <w:lang w:val="sv-SE"/>
                              </w:rPr>
                            </w:pPr>
                            <w:r w:rsidRPr="00735F7A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lang w:val="sv-SE"/>
                              </w:rPr>
                              <w:t>Sista tredjedelen</w:t>
                            </w:r>
                            <w:r w:rsidRPr="00735F7A">
                              <w:rPr>
                                <w:rFonts w:asciiTheme="majorHAnsi" w:eastAsiaTheme="majorEastAsia" w:hAnsiTheme="majorHAnsi" w:cstheme="majorBidi"/>
                                <w:lang w:val="sv-SE"/>
                              </w:rPr>
                              <w:t xml:space="preserve"> – tredjedelen närmast det försvarande lagets mål</w:t>
                            </w:r>
                          </w:p>
                          <w:p w:rsidR="003E581A" w:rsidRPr="00735F7A" w:rsidRDefault="003E581A" w:rsidP="00A64D2C">
                            <w:pPr>
                              <w:rPr>
                                <w:rFonts w:asciiTheme="majorHAnsi" w:eastAsiaTheme="majorEastAsia" w:hAnsiTheme="majorHAnsi" w:cstheme="majorBidi"/>
                                <w:lang w:val="sv-SE"/>
                              </w:rPr>
                            </w:pPr>
                          </w:p>
                          <w:p w:rsidR="003E581A" w:rsidRPr="00735F7A" w:rsidRDefault="003E581A" w:rsidP="00A64D2C">
                            <w:pPr>
                              <w:rPr>
                                <w:rFonts w:asciiTheme="majorHAnsi" w:eastAsiaTheme="majorEastAsia" w:hAnsiTheme="majorHAnsi" w:cstheme="majorBidi"/>
                                <w:lang w:val="sv-SE"/>
                              </w:rPr>
                            </w:pPr>
                            <w:r w:rsidRPr="00735F7A">
                              <w:rPr>
                                <w:rFonts w:asciiTheme="majorHAnsi" w:eastAsiaTheme="majorEastAsia" w:hAnsiTheme="majorHAnsi" w:cstheme="majorBidi"/>
                                <w:lang w:val="sv-SE"/>
                              </w:rPr>
                              <w:t>Ett motiv för denna indelning är att koppla tredjedelarna till anfallsspelet eftersom det är viktigt att styra spelet i sista tredjedelen för att komma till avslut och göra mål.</w:t>
                            </w:r>
                          </w:p>
                          <w:p w:rsidR="003E581A" w:rsidRPr="00735F7A" w:rsidRDefault="003E581A" w:rsidP="00A64D2C">
                            <w:pPr>
                              <w:rPr>
                                <w:rFonts w:asciiTheme="majorHAnsi" w:eastAsiaTheme="majorEastAsia" w:hAnsiTheme="majorHAnsi" w:cstheme="majorBidi"/>
                                <w:lang w:val="sv-SE"/>
                              </w:rPr>
                            </w:pPr>
                          </w:p>
                          <w:p w:rsidR="003E581A" w:rsidRPr="00735F7A" w:rsidRDefault="003E581A" w:rsidP="00A64D2C">
                            <w:pP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lang w:val="sv-SE"/>
                              </w:rPr>
                            </w:pPr>
                            <w:r w:rsidRPr="00735F7A">
                              <w:rPr>
                                <w:rFonts w:asciiTheme="majorHAnsi" w:eastAsiaTheme="majorEastAsia" w:hAnsiTheme="majorHAnsi" w:cstheme="majorBidi"/>
                                <w:lang w:val="sv-SE"/>
                              </w:rPr>
                              <w:t xml:space="preserve">I försvarsspelet </w:t>
                            </w:r>
                            <w:r w:rsidR="00735F7A" w:rsidRPr="00735F7A">
                              <w:rPr>
                                <w:rFonts w:asciiTheme="majorHAnsi" w:eastAsiaTheme="majorEastAsia" w:hAnsiTheme="majorHAnsi" w:cstheme="majorBidi"/>
                                <w:lang w:val="sv-SE"/>
                              </w:rPr>
                              <w:t>kan</w:t>
                            </w:r>
                            <w:r w:rsidRPr="00735F7A">
                              <w:rPr>
                                <w:rFonts w:asciiTheme="majorHAnsi" w:eastAsiaTheme="majorEastAsia" w:hAnsiTheme="majorHAnsi" w:cstheme="majorBidi"/>
                                <w:lang w:val="sv-SE"/>
                              </w:rPr>
                              <w:t xml:space="preserve"> tredjedelarna användas för att </w:t>
                            </w:r>
                            <w:r w:rsidR="00735F7A" w:rsidRPr="00735F7A">
                              <w:rPr>
                                <w:rFonts w:asciiTheme="majorHAnsi" w:eastAsiaTheme="majorEastAsia" w:hAnsiTheme="majorHAnsi" w:cstheme="majorBidi"/>
                                <w:lang w:val="sv-SE"/>
                              </w:rPr>
                              <w:t>beskriva</w:t>
                            </w:r>
                            <w:r w:rsidRPr="00735F7A">
                              <w:rPr>
                                <w:rFonts w:asciiTheme="majorHAnsi" w:eastAsiaTheme="majorEastAsia" w:hAnsiTheme="majorHAnsi" w:cstheme="majorBidi"/>
                                <w:lang w:val="sv-SE"/>
                              </w:rPr>
                              <w:t xml:space="preserve"> var ett lag startar sitt presspel i skedet förhindra  speluppbyggnad.</w:t>
                            </w:r>
                          </w:p>
                        </w:txbxContent>
                      </wps:txbx>
                      <wps:bodyPr rot="0" vert="horz" wrap="square" lIns="182880" tIns="457200" rIns="182880" bIns="73152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28" style="position:absolute;margin-left:304.3pt;margin-top:0;width:194.95pt;height:335.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" fillcolor="white [3212]" strokecolor="#7d6b4c [1614]" strokeweight="1.25pt">
                <v:textbox inset="14.4pt,36pt,14.4pt,5.76pt">
                  <w:txbxContent>
                    <w:p w:rsidR="00A64D2C" w:rsidRPr="00735F7A" w:rsidRDefault="00A64D2C" w:rsidP="00A64D2C">
                      <w:pPr>
                        <w:rPr>
                          <w:rFonts w:asciiTheme="majorHAnsi" w:eastAsiaTheme="majorEastAsia" w:hAnsiTheme="majorHAnsi" w:cstheme="majorBidi"/>
                          <w:b/>
                          <w:bCs/>
                          <w:lang w:val="sv-SE"/>
                        </w:rPr>
                      </w:pPr>
                      <w:r w:rsidRPr="00735F7A">
                        <w:rPr>
                          <w:rFonts w:asciiTheme="majorHAnsi" w:eastAsiaTheme="majorEastAsia" w:hAnsiTheme="majorHAnsi" w:cstheme="majorBidi"/>
                          <w:b/>
                          <w:bCs/>
                          <w:lang w:val="sv-SE"/>
                        </w:rPr>
                        <w:t>Tredjedelar</w:t>
                      </w:r>
                    </w:p>
                    <w:p w:rsidR="00A64D2C" w:rsidRPr="00735F7A" w:rsidRDefault="00A64D2C" w:rsidP="00A64D2C">
                      <w:pPr>
                        <w:rPr>
                          <w:rFonts w:asciiTheme="majorHAnsi" w:eastAsiaTheme="majorEastAsia" w:hAnsiTheme="majorHAnsi" w:cstheme="majorBidi"/>
                          <w:b/>
                          <w:bCs/>
                          <w:lang w:val="sv-SE"/>
                        </w:rPr>
                      </w:pPr>
                    </w:p>
                    <w:p w:rsidR="00A64D2C" w:rsidRPr="00735F7A" w:rsidRDefault="003E581A" w:rsidP="00A64D2C">
                      <w:pPr>
                        <w:rPr>
                          <w:rFonts w:asciiTheme="majorHAnsi" w:eastAsiaTheme="majorEastAsia" w:hAnsiTheme="majorHAnsi" w:cstheme="majorBidi"/>
                          <w:lang w:val="sv-SE"/>
                        </w:rPr>
                      </w:pPr>
                      <w:r w:rsidRPr="00735F7A">
                        <w:rPr>
                          <w:rFonts w:asciiTheme="majorHAnsi" w:eastAsiaTheme="majorEastAsia" w:hAnsiTheme="majorHAnsi" w:cstheme="majorBidi"/>
                          <w:lang w:val="sv-SE"/>
                        </w:rPr>
                        <w:t xml:space="preserve">Planen kan delas in i tredjedelar: </w:t>
                      </w:r>
                    </w:p>
                    <w:p w:rsidR="003E581A" w:rsidRPr="00735F7A" w:rsidRDefault="003E581A" w:rsidP="00A64D2C">
                      <w:pPr>
                        <w:rPr>
                          <w:rFonts w:asciiTheme="majorHAnsi" w:eastAsiaTheme="majorEastAsia" w:hAnsiTheme="majorHAnsi" w:cstheme="majorBidi"/>
                          <w:i/>
                          <w:iCs/>
                          <w:lang w:val="sv-SE"/>
                        </w:rPr>
                      </w:pPr>
                    </w:p>
                    <w:p w:rsidR="003E581A" w:rsidRPr="00735F7A" w:rsidRDefault="003E581A" w:rsidP="00A64D2C">
                      <w:pPr>
                        <w:rPr>
                          <w:rFonts w:asciiTheme="majorHAnsi" w:eastAsiaTheme="majorEastAsia" w:hAnsiTheme="majorHAnsi" w:cstheme="majorBidi"/>
                          <w:lang w:val="sv-SE"/>
                        </w:rPr>
                      </w:pPr>
                      <w:r w:rsidRPr="00735F7A">
                        <w:rPr>
                          <w:rFonts w:asciiTheme="majorHAnsi" w:eastAsiaTheme="majorEastAsia" w:hAnsiTheme="majorHAnsi" w:cstheme="majorBidi"/>
                          <w:i/>
                          <w:iCs/>
                          <w:lang w:val="sv-SE"/>
                        </w:rPr>
                        <w:t xml:space="preserve">Första tredjedelen </w:t>
                      </w:r>
                      <w:r w:rsidRPr="00735F7A">
                        <w:rPr>
                          <w:rFonts w:asciiTheme="majorHAnsi" w:eastAsiaTheme="majorEastAsia" w:hAnsiTheme="majorHAnsi" w:cstheme="majorBidi"/>
                          <w:lang w:val="sv-SE"/>
                        </w:rPr>
                        <w:t>–</w:t>
                      </w:r>
                      <w:r w:rsidRPr="00735F7A">
                        <w:rPr>
                          <w:rFonts w:asciiTheme="majorHAnsi" w:eastAsiaTheme="majorEastAsia" w:hAnsiTheme="majorHAnsi" w:cstheme="majorBidi"/>
                          <w:i/>
                          <w:iCs/>
                          <w:lang w:val="sv-SE"/>
                        </w:rPr>
                        <w:t xml:space="preserve"> </w:t>
                      </w:r>
                      <w:r w:rsidRPr="00735F7A">
                        <w:rPr>
                          <w:rFonts w:asciiTheme="majorHAnsi" w:eastAsiaTheme="majorEastAsia" w:hAnsiTheme="majorHAnsi" w:cstheme="majorBidi"/>
                          <w:lang w:val="sv-SE"/>
                        </w:rPr>
                        <w:t>tredjedelen närmast det anfallande lagets mål.</w:t>
                      </w:r>
                    </w:p>
                    <w:p w:rsidR="003E581A" w:rsidRPr="00735F7A" w:rsidRDefault="003E581A" w:rsidP="00A64D2C">
                      <w:pPr>
                        <w:rPr>
                          <w:rFonts w:asciiTheme="majorHAnsi" w:eastAsiaTheme="majorEastAsia" w:hAnsiTheme="majorHAnsi" w:cstheme="majorBidi"/>
                          <w:lang w:val="sv-SE"/>
                        </w:rPr>
                      </w:pPr>
                    </w:p>
                    <w:p w:rsidR="003E581A" w:rsidRPr="00735F7A" w:rsidRDefault="003E581A" w:rsidP="00A64D2C">
                      <w:pPr>
                        <w:rPr>
                          <w:rFonts w:asciiTheme="majorHAnsi" w:eastAsiaTheme="majorEastAsia" w:hAnsiTheme="majorHAnsi" w:cstheme="majorBidi"/>
                          <w:lang w:val="sv-SE"/>
                        </w:rPr>
                      </w:pPr>
                      <w:r w:rsidRPr="00735F7A">
                        <w:rPr>
                          <w:rFonts w:asciiTheme="majorHAnsi" w:eastAsiaTheme="majorEastAsia" w:hAnsiTheme="majorHAnsi" w:cstheme="majorBidi"/>
                          <w:i/>
                          <w:iCs/>
                          <w:lang w:val="sv-SE"/>
                        </w:rPr>
                        <w:t>Centrala tredjedelen</w:t>
                      </w:r>
                      <w:r w:rsidRPr="00735F7A">
                        <w:rPr>
                          <w:rFonts w:asciiTheme="majorHAnsi" w:eastAsiaTheme="majorEastAsia" w:hAnsiTheme="majorHAnsi" w:cstheme="majorBidi"/>
                          <w:lang w:val="sv-SE"/>
                        </w:rPr>
                        <w:t xml:space="preserve"> – tredjedelen mitt på planen. </w:t>
                      </w:r>
                    </w:p>
                    <w:p w:rsidR="003E581A" w:rsidRPr="00735F7A" w:rsidRDefault="003E581A" w:rsidP="00A64D2C">
                      <w:pPr>
                        <w:rPr>
                          <w:rFonts w:asciiTheme="majorHAnsi" w:eastAsiaTheme="majorEastAsia" w:hAnsiTheme="majorHAnsi" w:cstheme="majorBidi"/>
                          <w:lang w:val="sv-SE"/>
                        </w:rPr>
                      </w:pPr>
                    </w:p>
                    <w:p w:rsidR="003E581A" w:rsidRPr="00735F7A" w:rsidRDefault="003E581A" w:rsidP="00A64D2C">
                      <w:pPr>
                        <w:rPr>
                          <w:rFonts w:asciiTheme="majorHAnsi" w:eastAsiaTheme="majorEastAsia" w:hAnsiTheme="majorHAnsi" w:cstheme="majorBidi"/>
                          <w:lang w:val="sv-SE"/>
                        </w:rPr>
                      </w:pPr>
                      <w:r w:rsidRPr="00735F7A">
                        <w:rPr>
                          <w:rFonts w:asciiTheme="majorHAnsi" w:eastAsiaTheme="majorEastAsia" w:hAnsiTheme="majorHAnsi" w:cstheme="majorBidi"/>
                          <w:i/>
                          <w:iCs/>
                          <w:lang w:val="sv-SE"/>
                        </w:rPr>
                        <w:t>Sista tredjedelen</w:t>
                      </w:r>
                      <w:r w:rsidRPr="00735F7A">
                        <w:rPr>
                          <w:rFonts w:asciiTheme="majorHAnsi" w:eastAsiaTheme="majorEastAsia" w:hAnsiTheme="majorHAnsi" w:cstheme="majorBidi"/>
                          <w:lang w:val="sv-SE"/>
                        </w:rPr>
                        <w:t xml:space="preserve"> – tredjedelen närmast det försvarande lagets mål</w:t>
                      </w:r>
                    </w:p>
                    <w:p w:rsidR="003E581A" w:rsidRPr="00735F7A" w:rsidRDefault="003E581A" w:rsidP="00A64D2C">
                      <w:pPr>
                        <w:rPr>
                          <w:rFonts w:asciiTheme="majorHAnsi" w:eastAsiaTheme="majorEastAsia" w:hAnsiTheme="majorHAnsi" w:cstheme="majorBidi"/>
                          <w:lang w:val="sv-SE"/>
                        </w:rPr>
                      </w:pPr>
                    </w:p>
                    <w:p w:rsidR="003E581A" w:rsidRPr="00735F7A" w:rsidRDefault="003E581A" w:rsidP="00A64D2C">
                      <w:pPr>
                        <w:rPr>
                          <w:rFonts w:asciiTheme="majorHAnsi" w:eastAsiaTheme="majorEastAsia" w:hAnsiTheme="majorHAnsi" w:cstheme="majorBidi"/>
                          <w:lang w:val="sv-SE"/>
                        </w:rPr>
                      </w:pPr>
                      <w:r w:rsidRPr="00735F7A">
                        <w:rPr>
                          <w:rFonts w:asciiTheme="majorHAnsi" w:eastAsiaTheme="majorEastAsia" w:hAnsiTheme="majorHAnsi" w:cstheme="majorBidi"/>
                          <w:lang w:val="sv-SE"/>
                        </w:rPr>
                        <w:t>Ett motiv för denna indelning är att koppla tredjedelarna till anfallsspelet eftersom det är viktigt att styra spelet i sista tredjedelen för att komma till avslut och göra mål.</w:t>
                      </w:r>
                    </w:p>
                    <w:p w:rsidR="003E581A" w:rsidRPr="00735F7A" w:rsidRDefault="003E581A" w:rsidP="00A64D2C">
                      <w:pPr>
                        <w:rPr>
                          <w:rFonts w:asciiTheme="majorHAnsi" w:eastAsiaTheme="majorEastAsia" w:hAnsiTheme="majorHAnsi" w:cstheme="majorBidi"/>
                          <w:lang w:val="sv-SE"/>
                        </w:rPr>
                      </w:pPr>
                    </w:p>
                    <w:p w:rsidR="003E581A" w:rsidRPr="00735F7A" w:rsidRDefault="003E581A" w:rsidP="00A64D2C">
                      <w:pPr>
                        <w:rPr>
                          <w:rFonts w:asciiTheme="majorHAnsi" w:eastAsiaTheme="majorEastAsia" w:hAnsiTheme="majorHAnsi" w:cstheme="majorBidi"/>
                          <w:i/>
                          <w:iCs/>
                          <w:lang w:val="sv-SE"/>
                        </w:rPr>
                      </w:pPr>
                      <w:r w:rsidRPr="00735F7A">
                        <w:rPr>
                          <w:rFonts w:asciiTheme="majorHAnsi" w:eastAsiaTheme="majorEastAsia" w:hAnsiTheme="majorHAnsi" w:cstheme="majorBidi"/>
                          <w:lang w:val="sv-SE"/>
                        </w:rPr>
                        <w:t xml:space="preserve">I försvarsspelet </w:t>
                      </w:r>
                      <w:r w:rsidR="00735F7A" w:rsidRPr="00735F7A">
                        <w:rPr>
                          <w:rFonts w:asciiTheme="majorHAnsi" w:eastAsiaTheme="majorEastAsia" w:hAnsiTheme="majorHAnsi" w:cstheme="majorBidi"/>
                          <w:lang w:val="sv-SE"/>
                        </w:rPr>
                        <w:t>kan</w:t>
                      </w:r>
                      <w:r w:rsidRPr="00735F7A">
                        <w:rPr>
                          <w:rFonts w:asciiTheme="majorHAnsi" w:eastAsiaTheme="majorEastAsia" w:hAnsiTheme="majorHAnsi" w:cstheme="majorBidi"/>
                          <w:lang w:val="sv-SE"/>
                        </w:rPr>
                        <w:t xml:space="preserve"> tredjedelarna användas för att </w:t>
                      </w:r>
                      <w:r w:rsidR="00735F7A" w:rsidRPr="00735F7A">
                        <w:rPr>
                          <w:rFonts w:asciiTheme="majorHAnsi" w:eastAsiaTheme="majorEastAsia" w:hAnsiTheme="majorHAnsi" w:cstheme="majorBidi"/>
                          <w:lang w:val="sv-SE"/>
                        </w:rPr>
                        <w:t>beskriva</w:t>
                      </w:r>
                      <w:r w:rsidRPr="00735F7A">
                        <w:rPr>
                          <w:rFonts w:asciiTheme="majorHAnsi" w:eastAsiaTheme="majorEastAsia" w:hAnsiTheme="majorHAnsi" w:cstheme="majorBidi"/>
                          <w:lang w:val="sv-SE"/>
                        </w:rPr>
                        <w:t xml:space="preserve"> var ett lag startar sitt presspel i skedet förhindra  speluppbyggnad.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972D93" w:rsidRPr="00972D93">
        <w:rPr>
          <w:noProof/>
        </w:rPr>
        <w:drawing>
          <wp:anchor distT="0" distB="0" distL="114300" distR="114300" simplePos="0" relativeHeight="251662336" behindDoc="0" locked="0" layoutInCell="1" allowOverlap="1" wp14:anchorId="335A2614">
            <wp:simplePos x="717550" y="2203450"/>
            <wp:positionH relativeFrom="column">
              <wp:align>left</wp:align>
            </wp:positionH>
            <wp:positionV relativeFrom="paragraph">
              <wp:align>top</wp:align>
            </wp:positionV>
            <wp:extent cx="3355918" cy="4248150"/>
            <wp:effectExtent l="0" t="0" r="0" b="0"/>
            <wp:wrapSquare wrapText="bothSides"/>
            <wp:docPr id="7" name="Bildobjekt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355918" cy="4248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textWrapping" w:clear="all"/>
      </w:r>
    </w:p>
    <w:p w:rsidR="00972D93" w:rsidRPr="00972D93" w:rsidRDefault="00972D93" w:rsidP="00972D93"/>
    <w:p w:rsidR="00972D93" w:rsidRDefault="00972D93" w:rsidP="00972D93"/>
    <w:p w:rsidR="00972D93" w:rsidRDefault="001E7FC8" w:rsidP="00972D93">
      <w:r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70485</wp:posOffset>
            </wp:positionV>
            <wp:extent cx="5098228" cy="2870200"/>
            <wp:effectExtent l="0" t="0" r="7620" b="6350"/>
            <wp:wrapThrough wrapText="bothSides">
              <wp:wrapPolygon edited="0">
                <wp:start x="0" y="0"/>
                <wp:lineTo x="0" y="21504"/>
                <wp:lineTo x="21552" y="21504"/>
                <wp:lineTo x="21552" y="0"/>
                <wp:lineTo x="0" y="0"/>
              </wp:wrapPolygon>
            </wp:wrapThrough>
            <wp:docPr id="4" name="Bildobjekt 4" descr="En bild som visar gräs, utomhus, fält, gul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emilforsberg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098228" cy="2870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72D93" w:rsidRPr="00972D93" w:rsidRDefault="00972D93" w:rsidP="00972D93"/>
    <w:sectPr w:rsidR="00972D93" w:rsidRPr="00972D93" w:rsidSect="005760D0">
      <w:headerReference w:type="default" r:id="rId12"/>
      <w:headerReference w:type="first" r:id="rId13"/>
      <w:footerReference w:type="first" r:id="rId14"/>
      <w:type w:val="continuous"/>
      <w:pgSz w:w="11906" w:h="16838"/>
      <w:pgMar w:top="2863" w:right="1134" w:bottom="1134" w:left="1134" w:header="709" w:footer="709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6C23" w:rsidRDefault="00656C23">
      <w:r>
        <w:separator/>
      </w:r>
    </w:p>
  </w:endnote>
  <w:endnote w:type="continuationSeparator" w:id="0">
    <w:p w:rsidR="00656C23" w:rsidRDefault="00656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o Sans Pro">
    <w:charset w:val="00"/>
    <w:family w:val="auto"/>
    <w:pitch w:val="variable"/>
    <w:sig w:usb0="A00000AF" w:usb1="5000205B" w:usb2="00000000" w:usb3="00000000" w:csb0="0000009B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419A" w:rsidRDefault="0062419A" w:rsidP="000A7210">
    <w:pPr>
      <w:spacing w:line="20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6C23" w:rsidRDefault="00656C23">
      <w:r>
        <w:separator/>
      </w:r>
    </w:p>
  </w:footnote>
  <w:footnote w:type="continuationSeparator" w:id="0">
    <w:p w:rsidR="00656C23" w:rsidRDefault="00656C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419A" w:rsidRPr="00972D93" w:rsidRDefault="00972D93" w:rsidP="00972D93">
    <w:r>
      <w:rPr>
        <w:noProof/>
      </w:rPr>
      <w:drawing>
        <wp:inline distT="0" distB="0" distL="0" distR="0" wp14:anchorId="65A5755E" wp14:editId="1794836C">
          <wp:extent cx="1428750" cy="1428750"/>
          <wp:effectExtent l="0" t="0" r="0" b="0"/>
          <wp:docPr id="5" name="Bildobjekt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1428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2419A" w:rsidRDefault="0062419A">
    <w:pPr>
      <w:rPr>
        <w:rFonts w:ascii="Verdana" w:hAnsi="Verdana"/>
        <w:sz w:val="14"/>
      </w:rPr>
    </w:pPr>
  </w:p>
  <w:p w:rsidR="0062419A" w:rsidRDefault="0062419A">
    <w:pPr>
      <w:jc w:val="center"/>
      <w:rPr>
        <w:rFonts w:ascii="Verdana" w:hAnsi="Verdana"/>
        <w:sz w:val="14"/>
      </w:rPr>
    </w:pPr>
  </w:p>
  <w:p w:rsidR="0062419A" w:rsidRDefault="0062419A" w:rsidP="00F24BFA">
    <w:pPr>
      <w:rPr>
        <w:rFonts w:ascii="Verdana" w:hAnsi="Verdana"/>
        <w:sz w:val="1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419A" w:rsidRDefault="00972D93" w:rsidP="007027D2">
    <w:r>
      <w:rPr>
        <w:noProof/>
      </w:rPr>
      <w:drawing>
        <wp:inline distT="0" distB="0" distL="0" distR="0" wp14:anchorId="54BF8C4B" wp14:editId="5376072A">
          <wp:extent cx="1428750" cy="1428750"/>
          <wp:effectExtent l="0" t="0" r="0" b="0"/>
          <wp:docPr id="3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1428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2419A" w:rsidRDefault="0062419A">
    <w:pPr>
      <w:rPr>
        <w:rFonts w:ascii="Verdana" w:hAnsi="Verdana"/>
        <w:sz w:val="14"/>
      </w:rPr>
    </w:pPr>
  </w:p>
  <w:p w:rsidR="0062419A" w:rsidRDefault="0062419A">
    <w:pPr>
      <w:rPr>
        <w:rFonts w:ascii="Verdana" w:hAnsi="Verdana"/>
        <w:sz w:val="14"/>
      </w:rPr>
    </w:pPr>
  </w:p>
  <w:p w:rsidR="0062419A" w:rsidRDefault="0062419A">
    <w:pPr>
      <w:jc w:val="center"/>
      <w:rPr>
        <w:rFonts w:ascii="Verdana" w:hAnsi="Verdana"/>
        <w:sz w:val="14"/>
      </w:rPr>
    </w:pPr>
    <w:r>
      <w:rPr>
        <w:rFonts w:ascii="Verdana" w:hAnsi="Verdana"/>
        <w:sz w:val="14"/>
      </w:rPr>
      <w:t xml:space="preserve"> </w:t>
    </w:r>
  </w:p>
  <w:p w:rsidR="0062419A" w:rsidRDefault="0062419A">
    <w:pPr>
      <w:jc w:val="center"/>
      <w:rPr>
        <w:rFonts w:ascii="Verdana" w:hAnsi="Verdana"/>
        <w:sz w:val="14"/>
      </w:rPr>
    </w:pPr>
  </w:p>
  <w:p w:rsidR="0062419A" w:rsidRDefault="00972D93" w:rsidP="000A7210">
    <w:pPr>
      <w:spacing w:line="200" w:lineRule="exact"/>
      <w:rPr>
        <w:rFonts w:ascii="Verdana" w:hAnsi="Verdana"/>
        <w:sz w:val="14"/>
      </w:rPr>
    </w:pPr>
    <w:r>
      <w:rPr>
        <w:noProof/>
      </w:rPr>
      <w:drawing>
        <wp:inline distT="0" distB="0" distL="0" distR="0" wp14:anchorId="71C1F5C5" wp14:editId="38FE74A3">
          <wp:extent cx="2146300" cy="2146300"/>
          <wp:effectExtent l="0" t="0" r="6350" b="6350"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6300" cy="214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2419A" w:rsidRDefault="0062419A" w:rsidP="00972D93">
    <w:pPr>
      <w:ind w:firstLine="708"/>
      <w:rPr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00E0CCE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1E5AB19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A98041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E38E495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FC8C0F0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E1A30D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7F6D9F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5488F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327044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88C26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D3B8BF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7C45ED2"/>
    <w:multiLevelType w:val="hybridMultilevel"/>
    <w:tmpl w:val="3884B3A2"/>
    <w:lvl w:ilvl="0" w:tplc="BC104846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006600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C57A89"/>
    <w:multiLevelType w:val="hybridMultilevel"/>
    <w:tmpl w:val="5922D466"/>
    <w:lvl w:ilvl="0" w:tplc="04070015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10"/>
  </w:num>
  <w:num w:numId="3">
    <w:abstractNumId w:val="8"/>
  </w:num>
  <w:num w:numId="4">
    <w:abstractNumId w:val="7"/>
  </w:num>
  <w:num w:numId="5">
    <w:abstractNumId w:val="6"/>
  </w:num>
  <w:num w:numId="6">
    <w:abstractNumId w:val="5"/>
  </w:num>
  <w:num w:numId="7">
    <w:abstractNumId w:val="9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drawingGridHorizontalSpacing w:val="100"/>
  <w:drawingGridVerticalSpacing w:val="136"/>
  <w:displayHorizontalDrawingGridEvery w:val="0"/>
  <w:displayVerticalDrawingGridEvery w:val="0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D93"/>
    <w:rsid w:val="00026341"/>
    <w:rsid w:val="000571CB"/>
    <w:rsid w:val="000620CA"/>
    <w:rsid w:val="0006335E"/>
    <w:rsid w:val="0008251A"/>
    <w:rsid w:val="00092C8D"/>
    <w:rsid w:val="000A0C72"/>
    <w:rsid w:val="000A7210"/>
    <w:rsid w:val="000B2968"/>
    <w:rsid w:val="000B64A2"/>
    <w:rsid w:val="000B6B28"/>
    <w:rsid w:val="000C51C9"/>
    <w:rsid w:val="000D184A"/>
    <w:rsid w:val="000D1C8D"/>
    <w:rsid w:val="000F2F5A"/>
    <w:rsid w:val="00101A25"/>
    <w:rsid w:val="0010766C"/>
    <w:rsid w:val="00117365"/>
    <w:rsid w:val="0012300F"/>
    <w:rsid w:val="00131095"/>
    <w:rsid w:val="001678FA"/>
    <w:rsid w:val="00187254"/>
    <w:rsid w:val="00190011"/>
    <w:rsid w:val="001961DC"/>
    <w:rsid w:val="00197778"/>
    <w:rsid w:val="00197CC3"/>
    <w:rsid w:val="001B4C1D"/>
    <w:rsid w:val="001E7FC8"/>
    <w:rsid w:val="001F35E9"/>
    <w:rsid w:val="0020777A"/>
    <w:rsid w:val="0021047D"/>
    <w:rsid w:val="00224E29"/>
    <w:rsid w:val="00236DD9"/>
    <w:rsid w:val="00245A36"/>
    <w:rsid w:val="002556DF"/>
    <w:rsid w:val="002656E6"/>
    <w:rsid w:val="00295DA7"/>
    <w:rsid w:val="002A488F"/>
    <w:rsid w:val="002B112B"/>
    <w:rsid w:val="002B189B"/>
    <w:rsid w:val="002B2771"/>
    <w:rsid w:val="002C307A"/>
    <w:rsid w:val="002C5314"/>
    <w:rsid w:val="002E5E27"/>
    <w:rsid w:val="002F6C5A"/>
    <w:rsid w:val="00344F4D"/>
    <w:rsid w:val="00350FDA"/>
    <w:rsid w:val="003521C6"/>
    <w:rsid w:val="00363CC3"/>
    <w:rsid w:val="00373276"/>
    <w:rsid w:val="003735B0"/>
    <w:rsid w:val="00377BB8"/>
    <w:rsid w:val="003956A0"/>
    <w:rsid w:val="003A2883"/>
    <w:rsid w:val="003D63AC"/>
    <w:rsid w:val="003E581A"/>
    <w:rsid w:val="0040292B"/>
    <w:rsid w:val="004303F4"/>
    <w:rsid w:val="00483F13"/>
    <w:rsid w:val="004932B3"/>
    <w:rsid w:val="004C52AE"/>
    <w:rsid w:val="004E5739"/>
    <w:rsid w:val="00504989"/>
    <w:rsid w:val="00506303"/>
    <w:rsid w:val="005137FB"/>
    <w:rsid w:val="005336CD"/>
    <w:rsid w:val="00553764"/>
    <w:rsid w:val="00565AA1"/>
    <w:rsid w:val="00575382"/>
    <w:rsid w:val="005760D0"/>
    <w:rsid w:val="00586C85"/>
    <w:rsid w:val="005902F4"/>
    <w:rsid w:val="005A2544"/>
    <w:rsid w:val="005B1ADF"/>
    <w:rsid w:val="005B2BB8"/>
    <w:rsid w:val="005B6C90"/>
    <w:rsid w:val="005C4A16"/>
    <w:rsid w:val="005C72ED"/>
    <w:rsid w:val="005D22F9"/>
    <w:rsid w:val="005F7F64"/>
    <w:rsid w:val="00615D1F"/>
    <w:rsid w:val="0062419A"/>
    <w:rsid w:val="00656C23"/>
    <w:rsid w:val="00696682"/>
    <w:rsid w:val="006A29A9"/>
    <w:rsid w:val="006A2D2F"/>
    <w:rsid w:val="006B6993"/>
    <w:rsid w:val="006C0ED4"/>
    <w:rsid w:val="006C632E"/>
    <w:rsid w:val="006D7238"/>
    <w:rsid w:val="006E166C"/>
    <w:rsid w:val="006E6C91"/>
    <w:rsid w:val="006F1511"/>
    <w:rsid w:val="007027D2"/>
    <w:rsid w:val="00702CF5"/>
    <w:rsid w:val="00703F98"/>
    <w:rsid w:val="0070717C"/>
    <w:rsid w:val="00715EB5"/>
    <w:rsid w:val="00717B84"/>
    <w:rsid w:val="00720F30"/>
    <w:rsid w:val="00730605"/>
    <w:rsid w:val="00735F7A"/>
    <w:rsid w:val="00762033"/>
    <w:rsid w:val="007741B4"/>
    <w:rsid w:val="007A06FB"/>
    <w:rsid w:val="007A6878"/>
    <w:rsid w:val="007B2F9A"/>
    <w:rsid w:val="007B498C"/>
    <w:rsid w:val="007D0635"/>
    <w:rsid w:val="007D0791"/>
    <w:rsid w:val="007F0789"/>
    <w:rsid w:val="00811A13"/>
    <w:rsid w:val="00866305"/>
    <w:rsid w:val="00880184"/>
    <w:rsid w:val="00894765"/>
    <w:rsid w:val="008D5C92"/>
    <w:rsid w:val="008E63C4"/>
    <w:rsid w:val="008F7C95"/>
    <w:rsid w:val="00906A04"/>
    <w:rsid w:val="00907931"/>
    <w:rsid w:val="00934FD6"/>
    <w:rsid w:val="00945FC3"/>
    <w:rsid w:val="009551C6"/>
    <w:rsid w:val="00956E84"/>
    <w:rsid w:val="00961064"/>
    <w:rsid w:val="00972D93"/>
    <w:rsid w:val="009745A0"/>
    <w:rsid w:val="0098752C"/>
    <w:rsid w:val="00996EE4"/>
    <w:rsid w:val="009A24B0"/>
    <w:rsid w:val="009B2326"/>
    <w:rsid w:val="009D4630"/>
    <w:rsid w:val="009E273D"/>
    <w:rsid w:val="009E2FA2"/>
    <w:rsid w:val="009F7677"/>
    <w:rsid w:val="00A002EE"/>
    <w:rsid w:val="00A01B33"/>
    <w:rsid w:val="00A039C6"/>
    <w:rsid w:val="00A46706"/>
    <w:rsid w:val="00A64332"/>
    <w:rsid w:val="00A64D2C"/>
    <w:rsid w:val="00A679CF"/>
    <w:rsid w:val="00A77FDF"/>
    <w:rsid w:val="00A959A3"/>
    <w:rsid w:val="00A97895"/>
    <w:rsid w:val="00AB243B"/>
    <w:rsid w:val="00AC651C"/>
    <w:rsid w:val="00AE2492"/>
    <w:rsid w:val="00B0249A"/>
    <w:rsid w:val="00B07D02"/>
    <w:rsid w:val="00B20D93"/>
    <w:rsid w:val="00B215D7"/>
    <w:rsid w:val="00B27949"/>
    <w:rsid w:val="00B36381"/>
    <w:rsid w:val="00B40965"/>
    <w:rsid w:val="00B44BDA"/>
    <w:rsid w:val="00B50AB7"/>
    <w:rsid w:val="00B665EC"/>
    <w:rsid w:val="00B674F2"/>
    <w:rsid w:val="00B70CF1"/>
    <w:rsid w:val="00B83EB3"/>
    <w:rsid w:val="00B87180"/>
    <w:rsid w:val="00BA22D4"/>
    <w:rsid w:val="00BB13CF"/>
    <w:rsid w:val="00BB3307"/>
    <w:rsid w:val="00BB6594"/>
    <w:rsid w:val="00BC7376"/>
    <w:rsid w:val="00BD6F44"/>
    <w:rsid w:val="00BD705E"/>
    <w:rsid w:val="00C2455C"/>
    <w:rsid w:val="00C35809"/>
    <w:rsid w:val="00C35E9F"/>
    <w:rsid w:val="00C40506"/>
    <w:rsid w:val="00C46727"/>
    <w:rsid w:val="00C54DC4"/>
    <w:rsid w:val="00CB5831"/>
    <w:rsid w:val="00CD743B"/>
    <w:rsid w:val="00CF7605"/>
    <w:rsid w:val="00CF7FC5"/>
    <w:rsid w:val="00D303ED"/>
    <w:rsid w:val="00D70075"/>
    <w:rsid w:val="00D84644"/>
    <w:rsid w:val="00DD7D44"/>
    <w:rsid w:val="00E01547"/>
    <w:rsid w:val="00E11874"/>
    <w:rsid w:val="00E12814"/>
    <w:rsid w:val="00E16F71"/>
    <w:rsid w:val="00E268B4"/>
    <w:rsid w:val="00E3056D"/>
    <w:rsid w:val="00E32427"/>
    <w:rsid w:val="00E458AC"/>
    <w:rsid w:val="00E56804"/>
    <w:rsid w:val="00E62A6C"/>
    <w:rsid w:val="00E73CE2"/>
    <w:rsid w:val="00E83F50"/>
    <w:rsid w:val="00E87B93"/>
    <w:rsid w:val="00E90738"/>
    <w:rsid w:val="00E949F0"/>
    <w:rsid w:val="00EB127F"/>
    <w:rsid w:val="00EB1DFE"/>
    <w:rsid w:val="00EB4FDD"/>
    <w:rsid w:val="00EC56DB"/>
    <w:rsid w:val="00ED252E"/>
    <w:rsid w:val="00EE61E9"/>
    <w:rsid w:val="00EF6D6E"/>
    <w:rsid w:val="00F24BFA"/>
    <w:rsid w:val="00F374BE"/>
    <w:rsid w:val="00F41CFF"/>
    <w:rsid w:val="00F454BA"/>
    <w:rsid w:val="00F51484"/>
    <w:rsid w:val="00F5767A"/>
    <w:rsid w:val="00F641CE"/>
    <w:rsid w:val="00F840E6"/>
    <w:rsid w:val="00F91643"/>
    <w:rsid w:val="00F96D43"/>
    <w:rsid w:val="00FA09DD"/>
    <w:rsid w:val="00FD4D5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2639C0E"/>
  <w14:defaultImageDpi w14:val="300"/>
  <w15:docId w15:val="{04FB14A8-1C3A-4A76-A61C-B0C6B30F8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A2544"/>
    <w:rPr>
      <w:rFonts w:asciiTheme="minorHAnsi" w:hAnsiTheme="minorHAnsi"/>
    </w:rPr>
  </w:style>
  <w:style w:type="paragraph" w:styleId="Rubrik1">
    <w:name w:val="heading 1"/>
    <w:basedOn w:val="Normal"/>
    <w:next w:val="Normal"/>
    <w:link w:val="Rubrik1Char"/>
    <w:uiPriority w:val="9"/>
    <w:qFormat/>
    <w:rsid w:val="00D303ED"/>
    <w:pPr>
      <w:keepNext/>
      <w:outlineLvl w:val="0"/>
    </w:pPr>
  </w:style>
  <w:style w:type="paragraph" w:styleId="Rubrik2">
    <w:name w:val="heading 2"/>
    <w:basedOn w:val="Normal"/>
    <w:next w:val="Normal"/>
    <w:qFormat/>
    <w:rsid w:val="00D303ED"/>
    <w:pPr>
      <w:keepNext/>
      <w:outlineLvl w:val="1"/>
    </w:pPr>
    <w:rPr>
      <w:color w:val="000000" w:themeColor="tex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link w:val="Rubrik1"/>
    <w:uiPriority w:val="9"/>
    <w:rsid w:val="00D303ED"/>
    <w:rPr>
      <w:rFonts w:asciiTheme="minorHAnsi" w:hAnsiTheme="minorHAnsi"/>
    </w:rPr>
  </w:style>
  <w:style w:type="paragraph" w:styleId="Sidhuvud">
    <w:name w:val="header"/>
    <w:basedOn w:val="Normal"/>
    <w:link w:val="SidhuvudChar"/>
    <w:rsid w:val="005137FB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5137FB"/>
    <w:rPr>
      <w:rFonts w:ascii="Neo Sans Pro" w:hAnsi="Neo Sans Pro"/>
    </w:rPr>
  </w:style>
  <w:style w:type="paragraph" w:styleId="Sidfot">
    <w:name w:val="footer"/>
    <w:basedOn w:val="Normal"/>
    <w:link w:val="SidfotChar"/>
    <w:rsid w:val="00ED252E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ED252E"/>
    <w:rPr>
      <w:rFonts w:ascii="Neo Sans Pro" w:hAnsi="Neo Sans Pro"/>
    </w:rPr>
  </w:style>
  <w:style w:type="paragraph" w:styleId="Normalwebb">
    <w:name w:val="Normal (Web)"/>
    <w:basedOn w:val="Normal"/>
    <w:uiPriority w:val="99"/>
    <w:semiHidden/>
    <w:unhideWhenUsed/>
    <w:rsid w:val="00972D9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397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11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Hilti\Templates\Blank_Document_with_Logo.dotx" TargetMode="External"/></Relationships>
</file>

<file path=word/theme/theme1.xml><?xml version="1.0" encoding="utf-8"?>
<a:theme xmlns:a="http://schemas.openxmlformats.org/drawingml/2006/main" name="Office-Design">
  <a:themeElements>
    <a:clrScheme name="Hilti">
      <a:dk1>
        <a:srgbClr val="000000"/>
      </a:dk1>
      <a:lt1>
        <a:srgbClr val="FFFFFF"/>
      </a:lt1>
      <a:dk2>
        <a:srgbClr val="887F6E"/>
      </a:dk2>
      <a:lt2>
        <a:srgbClr val="D7CEBD"/>
      </a:lt2>
      <a:accent1>
        <a:srgbClr val="D2051E"/>
      </a:accent1>
      <a:accent2>
        <a:srgbClr val="D7CEBD"/>
      </a:accent2>
      <a:accent3>
        <a:srgbClr val="887F6E"/>
      </a:accent3>
      <a:accent4>
        <a:srgbClr val="524F53"/>
      </a:accent4>
      <a:accent5>
        <a:srgbClr val="671A3D"/>
      </a:accent5>
      <a:accent6>
        <a:srgbClr val="D7CEBD"/>
      </a:accent6>
      <a:hlink>
        <a:srgbClr val="000000"/>
      </a:hlink>
      <a:folHlink>
        <a:srgbClr val="000000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Blank_Document_with_Logo.dotx</Template>
  <TotalTime>58</TotalTime>
  <Pages>3</Pages>
  <Words>49</Words>
  <Characters>264</Characters>
  <Application>Microsoft Office Word</Application>
  <DocSecurity>0</DocSecurity>
  <Lines>2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p.a.t. GmbH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Brannstroem, Christoffer</dc:creator>
  <cp:keywords>Brief</cp:keywords>
  <dc:description/>
  <cp:lastModifiedBy>Brannstroem, Christoffer</cp:lastModifiedBy>
  <cp:revision>4</cp:revision>
  <cp:lastPrinted>2014-04-07T18:32:00Z</cp:lastPrinted>
  <dcterms:created xsi:type="dcterms:W3CDTF">2020-12-02T15:56:00Z</dcterms:created>
  <dcterms:modified xsi:type="dcterms:W3CDTF">2020-12-02T22:42:00Z</dcterms:modified>
</cp:coreProperties>
</file>