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>3.0 Organisationsmodell för ungdomslag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16"/>
          <w:szCs w:val="16"/>
        </w:rPr>
      </w:pPr>
      <w:r>
        <w:rPr>
          <w:rFonts w:ascii="Verdana-BoldItalic" w:hAnsi="Verdana-BoldItalic" w:cs="Verdana-BoldItalic"/>
          <w:b/>
          <w:bCs/>
          <w:i/>
          <w:iCs/>
          <w:sz w:val="16"/>
          <w:szCs w:val="16"/>
        </w:rPr>
        <w:t>(Figurskiss 2.2)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Team Manager: </w:t>
      </w:r>
      <w:r>
        <w:rPr>
          <w:rFonts w:ascii="Verdana" w:hAnsi="Verdana" w:cs="Verdana"/>
          <w:sz w:val="20"/>
          <w:szCs w:val="20"/>
        </w:rPr>
        <w:t>Huvudansvarig för laget som helhet, och lagets kontaktperson.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Lagledare: </w:t>
      </w:r>
      <w:r>
        <w:rPr>
          <w:rFonts w:ascii="Verdana" w:hAnsi="Verdana" w:cs="Verdana"/>
          <w:sz w:val="20"/>
          <w:szCs w:val="20"/>
        </w:rPr>
        <w:t>Stöd till Team Manager och tränare.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Huvudtränare: </w:t>
      </w:r>
      <w:r>
        <w:rPr>
          <w:rFonts w:ascii="Verdana" w:hAnsi="Verdana" w:cs="Verdana"/>
          <w:sz w:val="20"/>
          <w:szCs w:val="20"/>
        </w:rPr>
        <w:t>Ansvarig för lagets träningar och tränings- och matchupplägg.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Ass. Tränare: </w:t>
      </w:r>
      <w:r>
        <w:rPr>
          <w:rFonts w:ascii="Verdana" w:hAnsi="Verdana" w:cs="Verdana"/>
          <w:sz w:val="20"/>
          <w:szCs w:val="20"/>
        </w:rPr>
        <w:t>Stöd till huvudtränare.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Målvaktstränare: </w:t>
      </w:r>
      <w:r>
        <w:rPr>
          <w:rFonts w:ascii="Verdana" w:hAnsi="Verdana" w:cs="Verdana"/>
          <w:sz w:val="20"/>
          <w:szCs w:val="20"/>
        </w:rPr>
        <w:t>Ansvarar för lagets målvaktsträning.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Kassör: </w:t>
      </w:r>
      <w:r>
        <w:rPr>
          <w:rFonts w:ascii="Verdana" w:hAnsi="Verdana" w:cs="Verdana"/>
          <w:sz w:val="20"/>
          <w:szCs w:val="20"/>
        </w:rPr>
        <w:t>Ansvarar för lagets egen ekonomi.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-Bold" w:hAnsi="Verdana-Bold" w:cs="Verdana-Bold"/>
          <w:b/>
          <w:bCs/>
          <w:sz w:val="20"/>
          <w:szCs w:val="20"/>
        </w:rPr>
        <w:t>Huvudmaterialare</w:t>
      </w:r>
      <w:proofErr w:type="spellEnd"/>
      <w:r>
        <w:rPr>
          <w:rFonts w:ascii="Verdana-Bold" w:hAnsi="Verdana-Bold" w:cs="Verdana-Bold"/>
          <w:b/>
          <w:bCs/>
          <w:sz w:val="20"/>
          <w:szCs w:val="20"/>
        </w:rPr>
        <w:t xml:space="preserve">: </w:t>
      </w:r>
      <w:r>
        <w:rPr>
          <w:rFonts w:ascii="Verdana" w:hAnsi="Verdana" w:cs="Verdana"/>
          <w:sz w:val="20"/>
          <w:szCs w:val="20"/>
        </w:rPr>
        <w:t>Ansvarar för laginköp och förvaltning av lagets material.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Dessa innehar ett övergripande föreningsansvar och samverkar med kollegor från andra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ungdomslag inom föreningen.</w:t>
      </w:r>
      <w:proofErr w:type="gramEnd"/>
    </w:p>
    <w:p w:rsidR="007D4D7A" w:rsidRDefault="007D4D7A" w:rsidP="001F716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</w:p>
    <w:p w:rsidR="001F716D" w:rsidRDefault="001F716D" w:rsidP="001F716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</w:p>
    <w:p w:rsidR="001F716D" w:rsidRPr="001F716D" w:rsidRDefault="001F716D" w:rsidP="001F716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bookmarkStart w:id="0" w:name="_GoBack"/>
      <w:bookmarkEnd w:id="0"/>
    </w:p>
    <w:p w:rsidR="007D5DE4" w:rsidRDefault="007D5DE4" w:rsidP="007D5DE4">
      <w:r>
        <w:rPr>
          <w:noProof/>
          <w:lang w:eastAsia="sv-SE"/>
        </w:rPr>
        <w:drawing>
          <wp:inline distT="0" distB="0" distL="0" distR="0">
            <wp:extent cx="5654040" cy="3979691"/>
            <wp:effectExtent l="0" t="0" r="381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397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DE4" w:rsidRDefault="007D5DE4" w:rsidP="007D5DE4"/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lastRenderedPageBreak/>
        <w:t>Team Manager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Huvudansvarig för laget som helhet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organisationen av laget, anmälan till seriespel, närvarorapportering,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upprättande av verksamhetsberättelse m.m.</w:t>
      </w:r>
      <w:proofErr w:type="gramEnd"/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Ska vara språkrör mellan kansliet/styrelse och laget, innefattande ansvar för att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relevant information förmedlas om/till laget.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att laget följer ramverket och klubbens övriga intentioner.</w:t>
      </w:r>
      <w:proofErr w:type="gramEnd"/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Deltar vid ungdomskommitténs möten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Social kontakt med spelarna.</w:t>
      </w:r>
      <w:proofErr w:type="gramEnd"/>
      <w:r>
        <w:rPr>
          <w:rFonts w:ascii="Verdana" w:hAnsi="Verdana" w:cs="Verdana"/>
          <w:sz w:val="20"/>
          <w:szCs w:val="20"/>
        </w:rPr>
        <w:t xml:space="preserve"> Utredningsansvarig vid t.ex. kränkande behandling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och mobbing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Håller i ledarmöten.</w:t>
      </w:r>
      <w:proofErr w:type="gramEnd"/>
      <w:r>
        <w:rPr>
          <w:rFonts w:ascii="Verdana" w:hAnsi="Verdana" w:cs="Verdana"/>
          <w:sz w:val="20"/>
          <w:szCs w:val="20"/>
        </w:rPr>
        <w:t xml:space="preserve"> Ledarmöten hålls med Team Manager, lagledare,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huvudtränare, ekonomiansvarig och </w:t>
      </w:r>
      <w:proofErr w:type="spellStart"/>
      <w:r>
        <w:rPr>
          <w:rFonts w:ascii="Verdana" w:hAnsi="Verdana" w:cs="Verdana"/>
          <w:sz w:val="20"/>
          <w:szCs w:val="20"/>
        </w:rPr>
        <w:t>huvudmaterialare</w:t>
      </w:r>
      <w:proofErr w:type="spellEnd"/>
      <w:r>
        <w:rPr>
          <w:rFonts w:ascii="Verdana" w:hAnsi="Verdana" w:cs="Verdana"/>
          <w:sz w:val="20"/>
          <w:szCs w:val="20"/>
        </w:rPr>
        <w:t>. I denna grupp tas förslag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fram om budget för året som sedan godkänns på föräldramöte/lagstämma.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Håller i föräldramöten minst 2 gånger per år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Följer gällande inköpsavtal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Lagledare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Kan med fördel delas mellan flera personer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Är stöd till Team Manager </w:t>
      </w:r>
      <w:proofErr w:type="gramStart"/>
      <w:r>
        <w:rPr>
          <w:rFonts w:ascii="Verdana" w:hAnsi="Verdana" w:cs="Verdana"/>
          <w:sz w:val="20"/>
          <w:szCs w:val="20"/>
        </w:rPr>
        <w:t>och</w:t>
      </w:r>
      <w:proofErr w:type="gramEnd"/>
      <w:r>
        <w:rPr>
          <w:rFonts w:ascii="Verdana" w:hAnsi="Verdana" w:cs="Verdana"/>
          <w:sz w:val="20"/>
          <w:szCs w:val="20"/>
        </w:rPr>
        <w:t xml:space="preserve"> tränare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Tar emot motståndare vid hemmamatcher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Ansvarar för att domare </w:t>
      </w:r>
      <w:proofErr w:type="gramStart"/>
      <w:r>
        <w:rPr>
          <w:rFonts w:ascii="Verdana" w:hAnsi="Verdana" w:cs="Verdana"/>
          <w:sz w:val="20"/>
          <w:szCs w:val="20"/>
        </w:rPr>
        <w:t>finns</w:t>
      </w:r>
      <w:proofErr w:type="gramEnd"/>
      <w:r>
        <w:rPr>
          <w:rFonts w:ascii="Verdana" w:hAnsi="Verdana" w:cs="Verdana"/>
          <w:sz w:val="20"/>
          <w:szCs w:val="20"/>
        </w:rPr>
        <w:t xml:space="preserve"> på plats vid hemmamatcher och får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utrustning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Administrerar/planerar resor vid bortamatcher/cuper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Sköter den sociala kontakten med spelarna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Huvudtränare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Arbetsuppgifterna kan delas med ass. tränare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Planerar träningen, på och utanför is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Utvärderar spelarkompetensen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laguttagningen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Planerar träningsmatcher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Tar fram förslag på cuper inom ramen för budgeten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Ser till att de sportsliga riktlinjerna följs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utvärderingen av verksamheten tillsammans med övriga tränare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Håller individuella utvecklingssamtal med varje spelare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närvarorapportering vid träningstillfällen, delas med ass.</w:t>
      </w:r>
      <w:proofErr w:type="gramEnd"/>
      <w:r>
        <w:rPr>
          <w:rFonts w:ascii="Verdana" w:hAnsi="Verdana" w:cs="Verdana"/>
          <w:sz w:val="20"/>
          <w:szCs w:val="20"/>
        </w:rPr>
        <w:t xml:space="preserve"> tränare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Är skyldig att inneha rätt kompetensprofil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att laget har deltagare i tränarråd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Utvecklar träningsinnehåll och den röda tråden inom Almtuna IS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Assisterande tränare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Hjälper huvudtränaren vid träningar och matcher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Hjälper till inför utvecklingssamtal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Sköter löpande närvarorapportering vid träningstillfällen, delas med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huvudtränare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>
        <w:rPr>
          <w:rFonts w:ascii="Verdana-Italic" w:hAnsi="Verdana-Italic" w:cs="Verdana-Italic"/>
          <w:i/>
          <w:iCs/>
          <w:sz w:val="20"/>
          <w:szCs w:val="20"/>
        </w:rPr>
        <w:t>Almtuna IS tar Uppsala till Eliten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8(26)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proofErr w:type="spellStart"/>
      <w:r>
        <w:rPr>
          <w:rFonts w:ascii="Verdana-Bold" w:hAnsi="Verdana-Bold" w:cs="Verdana-Bold"/>
          <w:b/>
          <w:bCs/>
          <w:sz w:val="24"/>
          <w:szCs w:val="24"/>
        </w:rPr>
        <w:t>Huvudmaterialare</w:t>
      </w:r>
      <w:proofErr w:type="spellEnd"/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Följer gällande inköpsavtal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Är huvudansvarig för omklädningsrum och förråd (inkl. slip och lagmaterial)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samlade inköp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ordning i bod och omklädningsrum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lagets material och att detta blir packat till bortamatcher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Slipar skridskor, ansvarar för att dräkter är hela och </w:t>
      </w:r>
      <w:proofErr w:type="gramStart"/>
      <w:r>
        <w:rPr>
          <w:rFonts w:ascii="Verdana" w:hAnsi="Verdana" w:cs="Verdana"/>
          <w:sz w:val="20"/>
          <w:szCs w:val="20"/>
        </w:rPr>
        <w:t>rena</w:t>
      </w:r>
      <w:proofErr w:type="gramEnd"/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Är ansvarig för att en </w:t>
      </w:r>
      <w:proofErr w:type="spellStart"/>
      <w:r>
        <w:rPr>
          <w:rFonts w:ascii="Verdana" w:hAnsi="Verdana" w:cs="Verdana"/>
          <w:sz w:val="20"/>
          <w:szCs w:val="20"/>
        </w:rPr>
        <w:t>materialare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finns</w:t>
      </w:r>
      <w:proofErr w:type="gramEnd"/>
      <w:r>
        <w:rPr>
          <w:rFonts w:ascii="Verdana" w:hAnsi="Verdana" w:cs="Verdana"/>
          <w:sz w:val="20"/>
          <w:szCs w:val="20"/>
        </w:rPr>
        <w:t xml:space="preserve"> närvarande vid match och träningstillfälle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Har social kontakt med spelare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Inventerar lagets material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Budgeterar materialinköp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Deltar i utbildning och möten för </w:t>
      </w:r>
      <w:proofErr w:type="spellStart"/>
      <w:r>
        <w:rPr>
          <w:rFonts w:ascii="Verdana" w:hAnsi="Verdana" w:cs="Verdana"/>
          <w:sz w:val="20"/>
          <w:szCs w:val="20"/>
        </w:rPr>
        <w:t>materialare</w:t>
      </w:r>
      <w:proofErr w:type="spellEnd"/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Kassör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att redovisning och ekonomi, inklusive hantering av lagkassa sköts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enligt Almtuna IS riktlinjer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fakturering av sponsoravtal via kansliet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Säkerställer att laget reglerar de krediter Almtuna IS gett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Upprättar resultaträkning/bokslut för avslutad säsong, skickar till föreningens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ekonomiansvarige samt redovisar för laget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Lämnar fortlöpande information till Team Manager </w:t>
      </w:r>
      <w:proofErr w:type="gramStart"/>
      <w:r>
        <w:rPr>
          <w:rFonts w:ascii="Verdana" w:hAnsi="Verdana" w:cs="Verdana"/>
          <w:sz w:val="20"/>
          <w:szCs w:val="20"/>
        </w:rPr>
        <w:t>om</w:t>
      </w:r>
      <w:proofErr w:type="gramEnd"/>
      <w:r>
        <w:rPr>
          <w:rFonts w:ascii="Verdana" w:hAnsi="Verdana" w:cs="Verdana"/>
          <w:sz w:val="20"/>
          <w:szCs w:val="20"/>
        </w:rPr>
        <w:t xml:space="preserve"> den finansiella situationen i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laget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Anmäler de familjer där delbetalning skall tillämpas (konfidentiellt)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Deltar i ekonomikommitténs möten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Bistår övriga funktioner i de fall brott mot reglerna som drabbar annan eller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föreningen noteras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Redovisar ekonomin 2 ggr per år (halvårsvis) i samband med föräldramöte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SISU-ansvarig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Deltar på anvisade möten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Säkerställer att laget utför de aktiviteter som gemensamt beslutas vid mötena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Redovisa aktiviteter samt närvaro för att säkerställa att </w:t>
      </w:r>
      <w:proofErr w:type="gramStart"/>
      <w:r>
        <w:rPr>
          <w:rFonts w:ascii="Verdana" w:hAnsi="Verdana" w:cs="Verdana"/>
          <w:sz w:val="20"/>
          <w:szCs w:val="20"/>
        </w:rPr>
        <w:t>vi</w:t>
      </w:r>
      <w:proofErr w:type="gramEnd"/>
      <w:r>
        <w:rPr>
          <w:rFonts w:ascii="Verdana" w:hAnsi="Verdana" w:cs="Verdana"/>
          <w:sz w:val="20"/>
          <w:szCs w:val="20"/>
        </w:rPr>
        <w:t xml:space="preserve"> får medel från SISU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proofErr w:type="spellStart"/>
      <w:r>
        <w:rPr>
          <w:rFonts w:ascii="Verdana-Bold" w:hAnsi="Verdana-Bold" w:cs="Verdana-Bold"/>
          <w:b/>
          <w:bCs/>
          <w:sz w:val="24"/>
          <w:szCs w:val="24"/>
        </w:rPr>
        <w:t>Materialare</w:t>
      </w:r>
      <w:proofErr w:type="spellEnd"/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Hjälper tränare och </w:t>
      </w:r>
      <w:proofErr w:type="spellStart"/>
      <w:r>
        <w:rPr>
          <w:rFonts w:ascii="Verdana" w:hAnsi="Verdana" w:cs="Verdana"/>
          <w:sz w:val="20"/>
          <w:szCs w:val="20"/>
        </w:rPr>
        <w:t>huvudmaterialare</w:t>
      </w:r>
      <w:proofErr w:type="spellEnd"/>
      <w:r>
        <w:rPr>
          <w:rFonts w:ascii="Verdana" w:hAnsi="Verdana" w:cs="Verdana"/>
          <w:sz w:val="20"/>
          <w:szCs w:val="20"/>
        </w:rPr>
        <w:t xml:space="preserve"> vid träningar och matcher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Föräldraråd (om ett föräldraråd är tillsatt i laget)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Jobbar för att skapa bra stämning runt laget tillsammans med Team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Manager, lagledare och föräldrar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Ordnar eventuella aktiviteter för spelare och föräldrar </w:t>
      </w:r>
      <w:proofErr w:type="gramStart"/>
      <w:r>
        <w:rPr>
          <w:rFonts w:ascii="Verdana" w:hAnsi="Verdana" w:cs="Verdana"/>
          <w:sz w:val="20"/>
          <w:szCs w:val="20"/>
        </w:rPr>
        <w:t>utanför ”</w:t>
      </w:r>
      <w:proofErr w:type="gramEnd"/>
      <w:r>
        <w:rPr>
          <w:rFonts w:ascii="Verdana" w:hAnsi="Verdana" w:cs="Verdana"/>
          <w:sz w:val="20"/>
          <w:szCs w:val="20"/>
        </w:rPr>
        <w:t>hockeyn”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lastRenderedPageBreak/>
        <w:t>Marknadsansvarig (om den rollen är tillsatt i laget)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Följer gällande inköpsavtal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Ansvarar för att arbetet med att få in medel till laget drivs på ett ansvarsfullt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sätt – drivande i att föreslå och koordinera aktiviteter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Tillsätter lämpliga personer för att bedriva arbetet med att få in medel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Håller dialog med föräldrarna kring alla projekt för att få in medel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>
        <w:rPr>
          <w:rFonts w:ascii="Verdana-Italic" w:hAnsi="Verdana-Italic" w:cs="Verdana-Italic"/>
          <w:i/>
          <w:iCs/>
          <w:sz w:val="20"/>
          <w:szCs w:val="20"/>
        </w:rPr>
        <w:t>Almtuna IS tar Uppsala till Eliten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Samtliga ledarfunktioner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Wingdings-Regular" w:eastAsia="Wingdings-Regular" w:hAnsi="Verdana-Bold" w:cs="Wingdings-Regular" w:hint="eastAsia"/>
          <w:sz w:val="20"/>
          <w:szCs w:val="20"/>
        </w:rPr>
        <w:t></w:t>
      </w:r>
      <w:r>
        <w:rPr>
          <w:rFonts w:ascii="Wingdings-Regular" w:eastAsia="Wingdings-Regular" w:hAnsi="Verdana-Bold" w:cs="Wingdings-Regular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Rapportera till Team Manager </w:t>
      </w:r>
      <w:proofErr w:type="gramStart"/>
      <w:r>
        <w:rPr>
          <w:rFonts w:ascii="Verdana" w:hAnsi="Verdana" w:cs="Verdana"/>
          <w:sz w:val="20"/>
          <w:szCs w:val="20"/>
        </w:rPr>
        <w:t>om</w:t>
      </w:r>
      <w:proofErr w:type="gramEnd"/>
      <w:r>
        <w:rPr>
          <w:rFonts w:ascii="Verdana" w:hAnsi="Verdana" w:cs="Verdana"/>
          <w:sz w:val="20"/>
          <w:szCs w:val="20"/>
        </w:rPr>
        <w:t xml:space="preserve"> spelare/föräldrar/ledare inte håller sig till</w:t>
      </w:r>
    </w:p>
    <w:p w:rsidR="007D5DE4" w:rsidRDefault="007D5DE4" w:rsidP="007D5D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riktlinjerna</w:t>
      </w:r>
    </w:p>
    <w:p w:rsidR="007D5DE4" w:rsidRPr="00F97B62" w:rsidRDefault="007D5DE4" w:rsidP="007D5DE4"/>
    <w:sectPr w:rsidR="007D5DE4" w:rsidRPr="00F97B62" w:rsidSect="00F97B62">
      <w:headerReference w:type="even" r:id="rId14"/>
      <w:headerReference w:type="first" r:id="rId15"/>
      <w:pgSz w:w="11906" w:h="16838" w:code="9"/>
      <w:pgMar w:top="1440" w:right="1440" w:bottom="1440" w:left="1440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E4" w:rsidRDefault="007D5DE4" w:rsidP="00B65B3A">
      <w:pPr>
        <w:spacing w:after="0" w:line="240" w:lineRule="auto"/>
      </w:pPr>
      <w:r>
        <w:separator/>
      </w:r>
    </w:p>
    <w:p w:rsidR="007D5DE4" w:rsidRDefault="007D5DE4"/>
  </w:endnote>
  <w:endnote w:type="continuationSeparator" w:id="0">
    <w:p w:rsidR="007D5DE4" w:rsidRDefault="007D5DE4" w:rsidP="00B65B3A">
      <w:pPr>
        <w:spacing w:after="0" w:line="240" w:lineRule="auto"/>
      </w:pPr>
      <w:r>
        <w:continuationSeparator/>
      </w:r>
    </w:p>
    <w:p w:rsidR="007D5DE4" w:rsidRDefault="007D5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E4" w:rsidRDefault="007D5DE4" w:rsidP="00B65B3A">
      <w:pPr>
        <w:spacing w:after="0" w:line="240" w:lineRule="auto"/>
      </w:pPr>
      <w:r>
        <w:separator/>
      </w:r>
    </w:p>
  </w:footnote>
  <w:footnote w:type="continuationSeparator" w:id="0">
    <w:p w:rsidR="007D5DE4" w:rsidRDefault="007D5DE4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0A" w:rsidRDefault="00CD410A" w:rsidP="00B65B3A">
    <w:pPr>
      <w:pStyle w:val="Sidhuvud"/>
      <w:spacing w:before="240" w:after="276"/>
    </w:pPr>
  </w:p>
  <w:p w:rsidR="00CD410A" w:rsidRDefault="00CD410A" w:rsidP="00B65B3A">
    <w:pPr>
      <w:spacing w:after="276"/>
    </w:pPr>
  </w:p>
  <w:p w:rsidR="00CD410A" w:rsidRDefault="00CD410A"/>
  <w:p w:rsidR="00CD410A" w:rsidRDefault="00CD41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0A" w:rsidRPr="00B30794" w:rsidRDefault="00CD410A" w:rsidP="0005173A">
    <w:pPr>
      <w:pStyle w:val="Header-info"/>
      <w:spacing w:after="7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E4"/>
    <w:rsid w:val="00002EF2"/>
    <w:rsid w:val="00017F5C"/>
    <w:rsid w:val="0002287F"/>
    <w:rsid w:val="0003125C"/>
    <w:rsid w:val="0005173A"/>
    <w:rsid w:val="00053E90"/>
    <w:rsid w:val="000D0FE3"/>
    <w:rsid w:val="000F5E03"/>
    <w:rsid w:val="001231E4"/>
    <w:rsid w:val="001406CC"/>
    <w:rsid w:val="001414D6"/>
    <w:rsid w:val="00152C1E"/>
    <w:rsid w:val="00153304"/>
    <w:rsid w:val="00196B58"/>
    <w:rsid w:val="001A1F63"/>
    <w:rsid w:val="001B155A"/>
    <w:rsid w:val="001C3335"/>
    <w:rsid w:val="001E0C17"/>
    <w:rsid w:val="001F716D"/>
    <w:rsid w:val="002169D8"/>
    <w:rsid w:val="00265D48"/>
    <w:rsid w:val="00266BE1"/>
    <w:rsid w:val="002E6AE3"/>
    <w:rsid w:val="003152C4"/>
    <w:rsid w:val="00316A97"/>
    <w:rsid w:val="00346952"/>
    <w:rsid w:val="00373994"/>
    <w:rsid w:val="00384C8B"/>
    <w:rsid w:val="003B2F68"/>
    <w:rsid w:val="003E5DF0"/>
    <w:rsid w:val="00417F51"/>
    <w:rsid w:val="004210DE"/>
    <w:rsid w:val="004227D9"/>
    <w:rsid w:val="00426CA6"/>
    <w:rsid w:val="004332BF"/>
    <w:rsid w:val="004343E5"/>
    <w:rsid w:val="0045434E"/>
    <w:rsid w:val="00463513"/>
    <w:rsid w:val="004B6550"/>
    <w:rsid w:val="00505276"/>
    <w:rsid w:val="00521C3B"/>
    <w:rsid w:val="0052484B"/>
    <w:rsid w:val="005267B8"/>
    <w:rsid w:val="00574CAE"/>
    <w:rsid w:val="005B5620"/>
    <w:rsid w:val="006049CB"/>
    <w:rsid w:val="0060679E"/>
    <w:rsid w:val="006114A3"/>
    <w:rsid w:val="006323DC"/>
    <w:rsid w:val="00633F86"/>
    <w:rsid w:val="00695E24"/>
    <w:rsid w:val="006C5E84"/>
    <w:rsid w:val="006C7BA1"/>
    <w:rsid w:val="006C7EEC"/>
    <w:rsid w:val="006C7EF6"/>
    <w:rsid w:val="006E4110"/>
    <w:rsid w:val="006F223F"/>
    <w:rsid w:val="007002D7"/>
    <w:rsid w:val="00707ACA"/>
    <w:rsid w:val="007121F4"/>
    <w:rsid w:val="007212EF"/>
    <w:rsid w:val="0077745B"/>
    <w:rsid w:val="00796EB5"/>
    <w:rsid w:val="007B14B8"/>
    <w:rsid w:val="007D4D7A"/>
    <w:rsid w:val="007D5DE4"/>
    <w:rsid w:val="007E4639"/>
    <w:rsid w:val="007E47DA"/>
    <w:rsid w:val="007F3F68"/>
    <w:rsid w:val="007F6F9B"/>
    <w:rsid w:val="00843EA7"/>
    <w:rsid w:val="0084674F"/>
    <w:rsid w:val="00862510"/>
    <w:rsid w:val="00864EFB"/>
    <w:rsid w:val="00890B5B"/>
    <w:rsid w:val="008B35B5"/>
    <w:rsid w:val="008C7FA3"/>
    <w:rsid w:val="008E2971"/>
    <w:rsid w:val="008E2C57"/>
    <w:rsid w:val="008E724E"/>
    <w:rsid w:val="008F24D9"/>
    <w:rsid w:val="009109E8"/>
    <w:rsid w:val="009662BC"/>
    <w:rsid w:val="00A07925"/>
    <w:rsid w:val="00A22A18"/>
    <w:rsid w:val="00A47A74"/>
    <w:rsid w:val="00A73167"/>
    <w:rsid w:val="00A82303"/>
    <w:rsid w:val="00A8595D"/>
    <w:rsid w:val="00AA5A49"/>
    <w:rsid w:val="00AC0BC2"/>
    <w:rsid w:val="00AD1A0A"/>
    <w:rsid w:val="00AF5948"/>
    <w:rsid w:val="00B30794"/>
    <w:rsid w:val="00B54D19"/>
    <w:rsid w:val="00B65B3A"/>
    <w:rsid w:val="00BA0E41"/>
    <w:rsid w:val="00BD281F"/>
    <w:rsid w:val="00BF1046"/>
    <w:rsid w:val="00BF5EBE"/>
    <w:rsid w:val="00C07176"/>
    <w:rsid w:val="00C26923"/>
    <w:rsid w:val="00C32E09"/>
    <w:rsid w:val="00C56D4E"/>
    <w:rsid w:val="00C62AB9"/>
    <w:rsid w:val="00C84384"/>
    <w:rsid w:val="00C87604"/>
    <w:rsid w:val="00CB57EA"/>
    <w:rsid w:val="00CC31D7"/>
    <w:rsid w:val="00CD410A"/>
    <w:rsid w:val="00D00E93"/>
    <w:rsid w:val="00D65A45"/>
    <w:rsid w:val="00D83999"/>
    <w:rsid w:val="00DB02E7"/>
    <w:rsid w:val="00DB7E7E"/>
    <w:rsid w:val="00DC260E"/>
    <w:rsid w:val="00DD59D8"/>
    <w:rsid w:val="00DF14CB"/>
    <w:rsid w:val="00E00700"/>
    <w:rsid w:val="00E01AE2"/>
    <w:rsid w:val="00E032A9"/>
    <w:rsid w:val="00E11BD3"/>
    <w:rsid w:val="00E17891"/>
    <w:rsid w:val="00E32A53"/>
    <w:rsid w:val="00E5258F"/>
    <w:rsid w:val="00F05B25"/>
    <w:rsid w:val="00F171CE"/>
    <w:rsid w:val="00F240C5"/>
    <w:rsid w:val="00F36535"/>
    <w:rsid w:val="00F370B7"/>
    <w:rsid w:val="00F616DB"/>
    <w:rsid w:val="00F74F50"/>
    <w:rsid w:val="00F96F2A"/>
    <w:rsid w:val="00F97B62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nhideWhenUsed="0"/>
    <w:lsdException w:name="Default Paragraph Font" w:uiPriority="1"/>
    <w:lsdException w:name="Subtitle" w:uiPriority="11" w:unhideWhenUsed="0"/>
    <w:lsdException w:name="Hyperlink" w:qFormat="1"/>
    <w:lsdException w:name="Strong" w:semiHidden="0" w:uiPriority="1" w:unhideWhenUsed="0"/>
    <w:lsdException w:name="Emphasis" w:semiHidden="0" w:uiPriority="1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1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F716D"/>
  </w:style>
  <w:style w:type="paragraph" w:styleId="Rubrik1">
    <w:name w:val="heading 1"/>
    <w:basedOn w:val="Normal"/>
    <w:next w:val="Normal"/>
    <w:link w:val="Rubrik1Char"/>
    <w:uiPriority w:val="9"/>
    <w:qFormat/>
    <w:rsid w:val="001F716D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F716D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F716D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1F71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  <w:rsid w:val="001F716D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1F716D"/>
  </w:style>
  <w:style w:type="character" w:customStyle="1" w:styleId="Rubrik1Char">
    <w:name w:val="Rubrik 1 Char"/>
    <w:basedOn w:val="Standardstycketeckensnitt"/>
    <w:link w:val="Rubrik1"/>
    <w:uiPriority w:val="9"/>
    <w:rsid w:val="001F716D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F716D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F716D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1F716D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1F716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1F716D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F716D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1F716D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1F716D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1F716D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F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716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1F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1F716D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1F716D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1F716D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1F716D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1F716D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1F716D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1F716D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1F716D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1F716D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1F716D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1F716D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1F716D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1F716D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1F716D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1F716D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1F716D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1F71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1F716D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1F716D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1F716D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1F716D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1F716D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1F716D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1F716D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1F716D"/>
    <w:pPr>
      <w:ind w:right="4111"/>
    </w:pPr>
  </w:style>
  <w:style w:type="character" w:styleId="Stark">
    <w:name w:val="Strong"/>
    <w:basedOn w:val="Standardstycketeckensnitt"/>
    <w:uiPriority w:val="1"/>
    <w:rsid w:val="001F716D"/>
    <w:rPr>
      <w:b/>
      <w:bCs/>
    </w:rPr>
  </w:style>
  <w:style w:type="table" w:customStyle="1" w:styleId="Sidfottabell">
    <w:name w:val="Sidfot tabell"/>
    <w:basedOn w:val="Normaltabell"/>
    <w:uiPriority w:val="99"/>
    <w:rsid w:val="001F716D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1F716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F716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F716D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1F716D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1F716D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1F716D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1F716D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1F716D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1F716D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1F716D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1F716D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nhideWhenUsed="0"/>
    <w:lsdException w:name="Default Paragraph Font" w:uiPriority="1"/>
    <w:lsdException w:name="Subtitle" w:uiPriority="11" w:unhideWhenUsed="0"/>
    <w:lsdException w:name="Hyperlink" w:qFormat="1"/>
    <w:lsdException w:name="Strong" w:semiHidden="0" w:uiPriority="1" w:unhideWhenUsed="0"/>
    <w:lsdException w:name="Emphasis" w:semiHidden="0" w:uiPriority="1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1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F716D"/>
  </w:style>
  <w:style w:type="paragraph" w:styleId="Rubrik1">
    <w:name w:val="heading 1"/>
    <w:basedOn w:val="Normal"/>
    <w:next w:val="Normal"/>
    <w:link w:val="Rubrik1Char"/>
    <w:uiPriority w:val="9"/>
    <w:qFormat/>
    <w:rsid w:val="001F716D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F716D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F716D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1F71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  <w:rsid w:val="001F716D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1F716D"/>
  </w:style>
  <w:style w:type="character" w:customStyle="1" w:styleId="Rubrik1Char">
    <w:name w:val="Rubrik 1 Char"/>
    <w:basedOn w:val="Standardstycketeckensnitt"/>
    <w:link w:val="Rubrik1"/>
    <w:uiPriority w:val="9"/>
    <w:rsid w:val="001F716D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F716D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F716D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1F716D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1F716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1F716D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F716D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1F716D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1F716D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1F716D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F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716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1F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1F716D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1F716D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1F716D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1F716D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1F716D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1F716D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1F716D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1F716D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1F716D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1F716D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1F716D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1F716D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1F716D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1F716D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1F716D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1F716D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1F71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1F716D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1F716D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1F716D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1F716D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1F716D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1F716D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1F716D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1F716D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1F716D"/>
    <w:pPr>
      <w:ind w:right="4111"/>
    </w:pPr>
  </w:style>
  <w:style w:type="character" w:styleId="Stark">
    <w:name w:val="Strong"/>
    <w:basedOn w:val="Standardstycketeckensnitt"/>
    <w:uiPriority w:val="1"/>
    <w:rsid w:val="001F716D"/>
    <w:rPr>
      <w:b/>
      <w:bCs/>
    </w:rPr>
  </w:style>
  <w:style w:type="table" w:customStyle="1" w:styleId="Sidfottabell">
    <w:name w:val="Sidfot tabell"/>
    <w:basedOn w:val="Normaltabell"/>
    <w:uiPriority w:val="99"/>
    <w:rsid w:val="001F716D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1F716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F716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F716D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1F716D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1F716D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1F716D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1F716D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1F716D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1F716D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1F716D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1F716D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14B571DE-9FEF-443E-BFEF-8D8A10FF54E4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6E016F-B9AC-43A3-AA96-290E72A6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F875F5FF.dotm</Template>
  <TotalTime>6</TotalTime>
  <Pages>4</Pages>
  <Words>784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Jansson</dc:creator>
  <cp:lastModifiedBy>Henrik Jansson</cp:lastModifiedBy>
  <cp:revision>2</cp:revision>
  <cp:lastPrinted>2012-03-26T17:07:00Z</cp:lastPrinted>
  <dcterms:created xsi:type="dcterms:W3CDTF">2016-08-15T10:17:00Z</dcterms:created>
  <dcterms:modified xsi:type="dcterms:W3CDTF">2016-08-15T10:50:00Z</dcterms:modified>
</cp:coreProperties>
</file>