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b w:val="1"/>
          <w:rtl w:val="0"/>
        </w:rPr>
        <w:t xml:space="preserve">De tio föräldrabuden</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Kom till träning och match – ditt barn vill det.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Uppmuntra alla spelarna i laget under matchen – inte bara din dotter eller son.</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Uppmuntra i både med och motgång – ge inte onödig kritik utan var positiv och vägledande.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Respektera hur tränaren disponerar spelarna – försök inte påverka henne/honom under matchen och sätt Dig in i klubbens policy.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Se domaren som en vägledare – kritisera aldrig hans/hennes bedömning.</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Uppmuntra ditt barn att delta – pressa inte.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Fråga om matchen var rolig, spännande och just – inte bara vad resultatet blev.</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Se till att ditt barn har förnuftig utrustning – överdriv inte.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Respektera föreningens ungdomsarbete och policy. Kom på de årliga mötena där man resonerar om principer etc. Du behöver inte andra förutsättningar för att delta i föreningens arbete än lust och engagemang.</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Tänk på att det är ditt barn som spelar fotboll – det är inte Du själv.</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Några grundprinciper:</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Kom inte bara till matcher – grundprincipen för barn är att de behöver träna ca dubbelt så mycket som de spelar matcher. Vid träningar lärs moment och grunder in som sedan omsätts i matchsituationer. Dessutom kommer de barn som enbart spelar matcher förr eller senare att ifrågasättas både av sina kamrater och ledarna. Att endast spela matcher och inte träna påverkar även de fysiska faktorerna – att inte träna innebär betydligt större risker för skador och sjukdomar vid matcher.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Påverka ALDRIG bollhållaren i en match. Barnen behöver utveckla sin egen kreativitet och genom att få ”instruktioner” från sidlinjen från kanske tre-fyra föräldrar hjälper inte barnet – ”passa”, ”skjut”, ”dribbla” på samma gång gör bara barnet osäkert. Vid träning bryter man ibland för att instruera och lära barnen hur man kan lösa vissa uppkomna situationer, men låt barnen utveckla sin kreativitet i matcherna.</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föräldrabud.docx</dc:title>
</cp:coreProperties>
</file>